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36" w:rsidRPr="007E04DC" w:rsidRDefault="00633236" w:rsidP="00D51703">
      <w:pPr>
        <w:rPr>
          <w:rFonts w:asciiTheme="minorHAnsi" w:hAnsiTheme="minorHAnsi"/>
          <w:sz w:val="22"/>
          <w:szCs w:val="22"/>
        </w:rPr>
      </w:pPr>
    </w:p>
    <w:p w:rsidR="00600CC4" w:rsidRPr="007E04DC" w:rsidRDefault="00600CC4" w:rsidP="00D51703">
      <w:pPr>
        <w:jc w:val="center"/>
        <w:rPr>
          <w:rFonts w:asciiTheme="minorHAnsi" w:hAnsiTheme="minorHAnsi"/>
          <w:sz w:val="22"/>
          <w:szCs w:val="22"/>
        </w:rPr>
      </w:pPr>
    </w:p>
    <w:p w:rsidR="00600CC4" w:rsidRPr="007E04DC" w:rsidRDefault="006C5DF0" w:rsidP="00D51703">
      <w:pPr>
        <w:jc w:val="both"/>
        <w:rPr>
          <w:rFonts w:asciiTheme="minorHAnsi" w:hAnsiTheme="minorHAnsi" w:cs="Arial"/>
          <w:color w:val="333333"/>
          <w:sz w:val="22"/>
          <w:szCs w:val="22"/>
          <w:shd w:val="clear" w:color="auto" w:fill="FFFFFF"/>
        </w:rPr>
      </w:pPr>
      <w:r>
        <w:rPr>
          <w:rFonts w:asciiTheme="minorHAnsi" w:hAnsiTheme="minorHAnsi" w:cs="Arial"/>
          <w:sz w:val="22"/>
          <w:szCs w:val="22"/>
        </w:rPr>
        <w:t>This 9</w:t>
      </w:r>
      <w:r w:rsidR="008F65E2" w:rsidRPr="007E04DC">
        <w:rPr>
          <w:rFonts w:asciiTheme="minorHAnsi" w:hAnsiTheme="minorHAnsi" w:cs="Arial"/>
          <w:sz w:val="22"/>
          <w:szCs w:val="22"/>
        </w:rPr>
        <w:t xml:space="preserve"> week online course is designed to help </w:t>
      </w:r>
      <w:r w:rsidR="008F65E2" w:rsidRPr="007E04DC">
        <w:rPr>
          <w:rFonts w:asciiTheme="minorHAnsi" w:hAnsiTheme="minorHAnsi" w:cs="Arial"/>
          <w:color w:val="333333"/>
          <w:sz w:val="22"/>
          <w:szCs w:val="22"/>
          <w:shd w:val="clear" w:color="auto" w:fill="FFFFFF"/>
        </w:rPr>
        <w:t xml:space="preserve">local health departments and their partners address the complex challenges facing the field of public health. These public health partners are exploring innovative partnerships and identifying new ways of operating within and influencing the economic and social conditions of our health system. Such work demands a new kind of leadership – a transition from our typical spheres of influence and authority to mobilizing people to tackle tough challenges and thrive. </w:t>
      </w:r>
    </w:p>
    <w:p w:rsidR="008F65E2" w:rsidRPr="007E04DC" w:rsidRDefault="008F65E2" w:rsidP="00D51703">
      <w:pPr>
        <w:jc w:val="both"/>
        <w:rPr>
          <w:rFonts w:asciiTheme="minorHAnsi" w:hAnsiTheme="minorHAnsi"/>
          <w:sz w:val="22"/>
          <w:szCs w:val="22"/>
        </w:rPr>
      </w:pPr>
    </w:p>
    <w:p w:rsidR="008F65E2" w:rsidRPr="001B58B4" w:rsidRDefault="008F65E2" w:rsidP="00D51703">
      <w:pPr>
        <w:jc w:val="both"/>
        <w:rPr>
          <w:rFonts w:asciiTheme="minorHAnsi" w:hAnsiTheme="minorHAnsi"/>
          <w:b/>
          <w:i/>
        </w:rPr>
      </w:pPr>
      <w:r w:rsidRPr="001B58B4">
        <w:rPr>
          <w:rFonts w:asciiTheme="minorHAnsi" w:hAnsiTheme="minorHAnsi"/>
          <w:b/>
          <w:i/>
        </w:rPr>
        <w:t>The course includes</w:t>
      </w:r>
      <w:r w:rsidR="00B44ED8">
        <w:rPr>
          <w:rFonts w:asciiTheme="minorHAnsi" w:hAnsiTheme="minorHAnsi"/>
          <w:b/>
          <w:i/>
        </w:rPr>
        <w:t xml:space="preserve"> a one week orientation and</w:t>
      </w:r>
      <w:r w:rsidRPr="001B58B4">
        <w:rPr>
          <w:rFonts w:asciiTheme="minorHAnsi" w:hAnsiTheme="minorHAnsi"/>
          <w:b/>
          <w:i/>
        </w:rPr>
        <w:t xml:space="preserve"> 4 modules, each spanning 2 weeks.</w:t>
      </w:r>
    </w:p>
    <w:p w:rsidR="007E04DC" w:rsidRPr="00D51703" w:rsidRDefault="007E04DC" w:rsidP="00D51703">
      <w:pPr>
        <w:jc w:val="both"/>
        <w:rPr>
          <w:rFonts w:asciiTheme="minorHAnsi" w:hAnsiTheme="minorHAnsi"/>
        </w:rPr>
      </w:pPr>
    </w:p>
    <w:tbl>
      <w:tblPr>
        <w:tblStyle w:val="TableGrid"/>
        <w:tblW w:w="11250" w:type="dxa"/>
        <w:tblInd w:w="-95" w:type="dxa"/>
        <w:shd w:val="clear" w:color="auto" w:fill="DEEAF6" w:themeFill="accent1" w:themeFillTint="33"/>
        <w:tblLook w:val="04A0" w:firstRow="1" w:lastRow="0" w:firstColumn="1" w:lastColumn="0" w:noHBand="0" w:noVBand="1"/>
      </w:tblPr>
      <w:tblGrid>
        <w:gridCol w:w="2970"/>
        <w:gridCol w:w="5130"/>
        <w:gridCol w:w="3150"/>
      </w:tblGrid>
      <w:tr w:rsidR="008F65E2" w:rsidRPr="007E04DC" w:rsidTr="007E04DC">
        <w:tc>
          <w:tcPr>
            <w:tcW w:w="2970" w:type="dxa"/>
            <w:shd w:val="clear" w:color="auto" w:fill="DEEAF6" w:themeFill="accent1" w:themeFillTint="33"/>
          </w:tcPr>
          <w:p w:rsidR="008F65E2" w:rsidRPr="007E04DC" w:rsidRDefault="008F65E2" w:rsidP="00D51703">
            <w:pPr>
              <w:rPr>
                <w:rFonts w:asciiTheme="minorHAnsi" w:hAnsiTheme="minorHAnsi"/>
                <w:b/>
                <w:sz w:val="22"/>
                <w:szCs w:val="22"/>
              </w:rPr>
            </w:pPr>
            <w:r w:rsidRPr="007E04DC">
              <w:rPr>
                <w:rFonts w:asciiTheme="minorHAnsi" w:hAnsiTheme="minorHAnsi"/>
                <w:b/>
                <w:sz w:val="22"/>
                <w:szCs w:val="22"/>
              </w:rPr>
              <w:t>Module</w:t>
            </w:r>
          </w:p>
        </w:tc>
        <w:tc>
          <w:tcPr>
            <w:tcW w:w="5130" w:type="dxa"/>
            <w:shd w:val="clear" w:color="auto" w:fill="DEEAF6" w:themeFill="accent1" w:themeFillTint="33"/>
          </w:tcPr>
          <w:p w:rsidR="008F65E2" w:rsidRPr="007E04DC" w:rsidRDefault="008F65E2" w:rsidP="00D51703">
            <w:pPr>
              <w:rPr>
                <w:rFonts w:asciiTheme="minorHAnsi" w:hAnsiTheme="minorHAnsi"/>
                <w:b/>
                <w:sz w:val="22"/>
                <w:szCs w:val="22"/>
              </w:rPr>
            </w:pPr>
            <w:r w:rsidRPr="007E04DC">
              <w:rPr>
                <w:rFonts w:asciiTheme="minorHAnsi" w:hAnsiTheme="minorHAnsi"/>
                <w:b/>
                <w:sz w:val="22"/>
                <w:szCs w:val="22"/>
              </w:rPr>
              <w:t>Overview</w:t>
            </w:r>
          </w:p>
        </w:tc>
        <w:tc>
          <w:tcPr>
            <w:tcW w:w="3150" w:type="dxa"/>
            <w:shd w:val="clear" w:color="auto" w:fill="DEEAF6" w:themeFill="accent1" w:themeFillTint="33"/>
          </w:tcPr>
          <w:p w:rsidR="008F65E2" w:rsidRPr="007E04DC" w:rsidRDefault="008F65E2" w:rsidP="00D51703">
            <w:pPr>
              <w:rPr>
                <w:rFonts w:asciiTheme="minorHAnsi" w:hAnsiTheme="minorHAnsi"/>
                <w:b/>
                <w:sz w:val="22"/>
                <w:szCs w:val="22"/>
              </w:rPr>
            </w:pPr>
            <w:r w:rsidRPr="007E04DC">
              <w:rPr>
                <w:rFonts w:asciiTheme="minorHAnsi" w:hAnsiTheme="minorHAnsi"/>
                <w:b/>
                <w:sz w:val="22"/>
                <w:szCs w:val="22"/>
              </w:rPr>
              <w:t>Timeline</w:t>
            </w:r>
          </w:p>
        </w:tc>
      </w:tr>
      <w:tr w:rsidR="008F65E2" w:rsidRPr="007E04DC" w:rsidTr="007E04DC">
        <w:tc>
          <w:tcPr>
            <w:tcW w:w="2970" w:type="dxa"/>
            <w:shd w:val="clear" w:color="auto" w:fill="DEEAF6" w:themeFill="accent1" w:themeFillTint="33"/>
          </w:tcPr>
          <w:p w:rsidR="008F65E2" w:rsidRDefault="008F65E2" w:rsidP="00D51703">
            <w:pPr>
              <w:rPr>
                <w:rFonts w:asciiTheme="minorHAnsi" w:hAnsiTheme="minorHAnsi"/>
                <w:i/>
                <w:sz w:val="22"/>
                <w:szCs w:val="22"/>
              </w:rPr>
            </w:pPr>
            <w:r w:rsidRPr="007E04DC">
              <w:rPr>
                <w:rFonts w:asciiTheme="minorHAnsi" w:hAnsiTheme="minorHAnsi"/>
                <w:i/>
                <w:sz w:val="22"/>
                <w:szCs w:val="22"/>
              </w:rPr>
              <w:t xml:space="preserve">Orientation </w:t>
            </w:r>
          </w:p>
          <w:p w:rsidR="00B44ED8" w:rsidRPr="007E04DC" w:rsidRDefault="00B44ED8" w:rsidP="00D51703">
            <w:pPr>
              <w:rPr>
                <w:rFonts w:asciiTheme="minorHAnsi" w:hAnsiTheme="minorHAnsi"/>
                <w:i/>
                <w:sz w:val="22"/>
                <w:szCs w:val="22"/>
              </w:rPr>
            </w:pPr>
          </w:p>
        </w:tc>
        <w:tc>
          <w:tcPr>
            <w:tcW w:w="5130" w:type="dxa"/>
            <w:shd w:val="clear" w:color="auto" w:fill="DEEAF6" w:themeFill="accent1" w:themeFillTint="33"/>
          </w:tcPr>
          <w:p w:rsidR="008F65E2" w:rsidRPr="007E04DC" w:rsidRDefault="008F65E2" w:rsidP="00D51703">
            <w:pPr>
              <w:textAlignment w:val="baseline"/>
              <w:rPr>
                <w:rFonts w:asciiTheme="minorHAnsi" w:hAnsiTheme="minorHAnsi" w:cs="Arial"/>
                <w:color w:val="000000"/>
                <w:sz w:val="22"/>
                <w:szCs w:val="22"/>
              </w:rPr>
            </w:pPr>
            <w:r w:rsidRPr="007E04DC">
              <w:rPr>
                <w:rFonts w:asciiTheme="minorHAnsi" w:hAnsiTheme="minorHAnsi" w:cs="Arial"/>
                <w:color w:val="000000"/>
                <w:sz w:val="22"/>
                <w:szCs w:val="22"/>
              </w:rPr>
              <w:t xml:space="preserve">Participants will be introduced to the course, </w:t>
            </w:r>
            <w:r w:rsidR="00B44ED8">
              <w:rPr>
                <w:rFonts w:asciiTheme="minorHAnsi" w:hAnsiTheme="minorHAnsi" w:cs="Arial"/>
                <w:color w:val="000000"/>
                <w:sz w:val="22"/>
                <w:szCs w:val="22"/>
              </w:rPr>
              <w:t xml:space="preserve">materials, </w:t>
            </w:r>
            <w:r w:rsidRPr="007E04DC">
              <w:rPr>
                <w:rFonts w:asciiTheme="minorHAnsi" w:hAnsiTheme="minorHAnsi" w:cs="Arial"/>
                <w:color w:val="000000"/>
                <w:sz w:val="22"/>
                <w:szCs w:val="22"/>
              </w:rPr>
              <w:t>timeline and expectations</w:t>
            </w:r>
          </w:p>
          <w:p w:rsidR="008F65E2" w:rsidRPr="007E04DC" w:rsidRDefault="008F65E2" w:rsidP="00D51703">
            <w:pPr>
              <w:rPr>
                <w:rFonts w:asciiTheme="minorHAnsi" w:hAnsiTheme="minorHAnsi"/>
                <w:sz w:val="22"/>
                <w:szCs w:val="22"/>
              </w:rPr>
            </w:pPr>
          </w:p>
        </w:tc>
        <w:tc>
          <w:tcPr>
            <w:tcW w:w="3150" w:type="dxa"/>
            <w:shd w:val="clear" w:color="auto" w:fill="DEEAF6" w:themeFill="accent1" w:themeFillTint="33"/>
          </w:tcPr>
          <w:p w:rsidR="00B44ED8" w:rsidRPr="00B44ED8" w:rsidRDefault="00B44ED8" w:rsidP="00D51703">
            <w:pPr>
              <w:rPr>
                <w:rFonts w:asciiTheme="minorHAnsi" w:hAnsiTheme="minorHAnsi"/>
                <w:b/>
                <w:sz w:val="22"/>
                <w:szCs w:val="22"/>
              </w:rPr>
            </w:pPr>
            <w:r w:rsidRPr="00B44ED8">
              <w:rPr>
                <w:rFonts w:asciiTheme="minorHAnsi" w:hAnsiTheme="minorHAnsi"/>
                <w:b/>
                <w:sz w:val="22"/>
                <w:szCs w:val="22"/>
              </w:rPr>
              <w:t>April 2 - 6</w:t>
            </w:r>
          </w:p>
        </w:tc>
      </w:tr>
      <w:tr w:rsidR="008F65E2" w:rsidRPr="007E04DC" w:rsidTr="007E04DC">
        <w:tc>
          <w:tcPr>
            <w:tcW w:w="2970" w:type="dxa"/>
            <w:shd w:val="clear" w:color="auto" w:fill="DEEAF6" w:themeFill="accent1" w:themeFillTint="33"/>
          </w:tcPr>
          <w:p w:rsidR="008F65E2" w:rsidRPr="007E04DC" w:rsidRDefault="008F65E2" w:rsidP="00A816EF">
            <w:pPr>
              <w:rPr>
                <w:rFonts w:asciiTheme="minorHAnsi" w:hAnsiTheme="minorHAnsi"/>
                <w:sz w:val="22"/>
                <w:szCs w:val="22"/>
              </w:rPr>
            </w:pPr>
            <w:r w:rsidRPr="001B58B4">
              <w:rPr>
                <w:rFonts w:asciiTheme="minorHAnsi" w:hAnsiTheme="minorHAnsi" w:cs="Arial"/>
                <w:b/>
                <w:bCs/>
                <w:color w:val="000000"/>
                <w:sz w:val="22"/>
                <w:szCs w:val="22"/>
              </w:rPr>
              <w:t>Module 1:</w:t>
            </w:r>
            <w:r w:rsidRPr="007E04DC">
              <w:rPr>
                <w:rFonts w:asciiTheme="minorHAnsi" w:hAnsiTheme="minorHAnsi" w:cs="Arial"/>
                <w:bCs/>
                <w:color w:val="000000"/>
                <w:sz w:val="22"/>
                <w:szCs w:val="22"/>
              </w:rPr>
              <w:t xml:space="preserve"> </w:t>
            </w:r>
            <w:r w:rsidR="00B44ED8">
              <w:rPr>
                <w:rFonts w:asciiTheme="minorHAnsi" w:hAnsiTheme="minorHAnsi"/>
                <w:i/>
                <w:sz w:val="22"/>
                <w:szCs w:val="22"/>
              </w:rPr>
              <w:t>What is the nature of the work</w:t>
            </w:r>
            <w:r w:rsidR="00A816EF" w:rsidRPr="007E04DC">
              <w:rPr>
                <w:rFonts w:asciiTheme="minorHAnsi" w:hAnsiTheme="minorHAnsi"/>
                <w:i/>
                <w:sz w:val="22"/>
                <w:szCs w:val="22"/>
              </w:rPr>
              <w:t>?</w:t>
            </w:r>
          </w:p>
        </w:tc>
        <w:tc>
          <w:tcPr>
            <w:tcW w:w="5130" w:type="dxa"/>
            <w:shd w:val="clear" w:color="auto" w:fill="DEEAF6" w:themeFill="accent1" w:themeFillTint="33"/>
          </w:tcPr>
          <w:p w:rsidR="008F65E2" w:rsidRPr="00A816EF" w:rsidRDefault="006C5DF0" w:rsidP="006C5DF0">
            <w:pPr>
              <w:rPr>
                <w:rFonts w:asciiTheme="minorHAnsi" w:hAnsiTheme="minorHAnsi" w:cs="Arial"/>
                <w:color w:val="000000"/>
                <w:sz w:val="22"/>
                <w:szCs w:val="22"/>
              </w:rPr>
            </w:pPr>
            <w:r>
              <w:rPr>
                <w:rFonts w:asciiTheme="minorHAnsi" w:hAnsiTheme="minorHAnsi" w:cs="Arial"/>
                <w:color w:val="000000"/>
                <w:sz w:val="22"/>
                <w:szCs w:val="22"/>
              </w:rPr>
              <w:t xml:space="preserve">This module will explore </w:t>
            </w:r>
            <w:r w:rsidR="00A816EF" w:rsidRPr="007E04DC">
              <w:rPr>
                <w:rFonts w:asciiTheme="minorHAnsi" w:hAnsiTheme="minorHAnsi" w:cs="Arial"/>
                <w:color w:val="000000"/>
                <w:sz w:val="22"/>
                <w:szCs w:val="22"/>
              </w:rPr>
              <w:t>the technical and adaptive elements of the challenges before us so that we can more effectively deploy ourselves and our resources to enable change.  </w:t>
            </w:r>
          </w:p>
        </w:tc>
        <w:tc>
          <w:tcPr>
            <w:tcW w:w="3150" w:type="dxa"/>
            <w:shd w:val="clear" w:color="auto" w:fill="DEEAF6" w:themeFill="accent1" w:themeFillTint="33"/>
          </w:tcPr>
          <w:p w:rsidR="00D51703" w:rsidRPr="001B58B4" w:rsidRDefault="00B44ED8" w:rsidP="00D51703">
            <w:pPr>
              <w:rPr>
                <w:rFonts w:asciiTheme="minorHAnsi" w:hAnsiTheme="minorHAnsi"/>
                <w:b/>
                <w:sz w:val="22"/>
                <w:szCs w:val="22"/>
              </w:rPr>
            </w:pPr>
            <w:r>
              <w:rPr>
                <w:rFonts w:asciiTheme="minorHAnsi" w:hAnsiTheme="minorHAnsi"/>
                <w:b/>
                <w:sz w:val="22"/>
                <w:szCs w:val="22"/>
              </w:rPr>
              <w:t>April 9 - 20</w:t>
            </w:r>
          </w:p>
          <w:p w:rsidR="00D51703" w:rsidRPr="007E04DC" w:rsidRDefault="00D51703" w:rsidP="00D51703">
            <w:pPr>
              <w:rPr>
                <w:rFonts w:asciiTheme="minorHAnsi" w:hAnsiTheme="minorHAnsi"/>
                <w:sz w:val="22"/>
                <w:szCs w:val="22"/>
              </w:rPr>
            </w:pPr>
          </w:p>
        </w:tc>
      </w:tr>
      <w:tr w:rsidR="008F65E2" w:rsidRPr="007E04DC" w:rsidTr="007E04DC">
        <w:tc>
          <w:tcPr>
            <w:tcW w:w="2970" w:type="dxa"/>
            <w:shd w:val="clear" w:color="auto" w:fill="DEEAF6" w:themeFill="accent1" w:themeFillTint="33"/>
          </w:tcPr>
          <w:p w:rsidR="008F65E2" w:rsidRPr="007E04DC" w:rsidRDefault="00D51703" w:rsidP="00A816EF">
            <w:pPr>
              <w:rPr>
                <w:rFonts w:asciiTheme="minorHAnsi" w:hAnsiTheme="minorHAnsi"/>
                <w:sz w:val="22"/>
                <w:szCs w:val="22"/>
              </w:rPr>
            </w:pPr>
            <w:r w:rsidRPr="001B58B4">
              <w:rPr>
                <w:rFonts w:asciiTheme="minorHAnsi" w:hAnsiTheme="minorHAnsi"/>
                <w:b/>
                <w:sz w:val="22"/>
                <w:szCs w:val="22"/>
              </w:rPr>
              <w:t>Module 2:</w:t>
            </w:r>
            <w:r w:rsidRPr="007E04DC">
              <w:rPr>
                <w:rFonts w:asciiTheme="minorHAnsi" w:hAnsiTheme="minorHAnsi"/>
                <w:sz w:val="22"/>
                <w:szCs w:val="22"/>
              </w:rPr>
              <w:t xml:space="preserve"> </w:t>
            </w:r>
            <w:r w:rsidR="00A816EF" w:rsidRPr="007E04DC">
              <w:rPr>
                <w:rFonts w:asciiTheme="minorHAnsi" w:hAnsiTheme="minorHAnsi" w:cs="Arial"/>
                <w:bCs/>
                <w:i/>
                <w:color w:val="000000"/>
                <w:sz w:val="22"/>
                <w:szCs w:val="22"/>
              </w:rPr>
              <w:t>What choices do we face about how we deploy ourselves to lead change?</w:t>
            </w:r>
            <w:r w:rsidR="00A816EF">
              <w:rPr>
                <w:rFonts w:asciiTheme="minorHAnsi" w:hAnsiTheme="minorHAnsi" w:cs="Arial"/>
                <w:bCs/>
                <w:i/>
                <w:color w:val="000000"/>
                <w:sz w:val="22"/>
                <w:szCs w:val="22"/>
              </w:rPr>
              <w:t xml:space="preserve"> </w:t>
            </w:r>
          </w:p>
        </w:tc>
        <w:tc>
          <w:tcPr>
            <w:tcW w:w="5130" w:type="dxa"/>
            <w:shd w:val="clear" w:color="auto" w:fill="DEEAF6" w:themeFill="accent1" w:themeFillTint="33"/>
          </w:tcPr>
          <w:p w:rsidR="00A816EF" w:rsidRPr="007E04DC" w:rsidRDefault="006C5DF0" w:rsidP="00D51703">
            <w:pPr>
              <w:rPr>
                <w:rFonts w:asciiTheme="minorHAnsi" w:hAnsiTheme="minorHAnsi"/>
                <w:sz w:val="22"/>
                <w:szCs w:val="22"/>
              </w:rPr>
            </w:pPr>
            <w:r>
              <w:rPr>
                <w:rFonts w:asciiTheme="minorHAnsi" w:hAnsiTheme="minorHAnsi" w:cs="Arial"/>
                <w:color w:val="000000"/>
                <w:sz w:val="22"/>
                <w:szCs w:val="22"/>
              </w:rPr>
              <w:t xml:space="preserve">This module looks at </w:t>
            </w:r>
            <w:r w:rsidR="00A816EF" w:rsidRPr="007E04DC">
              <w:rPr>
                <w:rFonts w:asciiTheme="minorHAnsi" w:hAnsiTheme="minorHAnsi" w:cs="Arial"/>
                <w:color w:val="000000"/>
                <w:sz w:val="22"/>
                <w:szCs w:val="22"/>
              </w:rPr>
              <w:t>the choices we have about when to exercise leadership - and disrupt the status quo - and when to exert our authority for the sake of maintaining stability and order.</w:t>
            </w:r>
          </w:p>
        </w:tc>
        <w:tc>
          <w:tcPr>
            <w:tcW w:w="3150" w:type="dxa"/>
            <w:shd w:val="clear" w:color="auto" w:fill="DEEAF6" w:themeFill="accent1" w:themeFillTint="33"/>
          </w:tcPr>
          <w:p w:rsidR="00653CFE" w:rsidRPr="00B44ED8" w:rsidRDefault="00B44ED8" w:rsidP="00653CFE">
            <w:pPr>
              <w:rPr>
                <w:rFonts w:asciiTheme="minorHAnsi" w:hAnsiTheme="minorHAnsi"/>
                <w:b/>
                <w:sz w:val="22"/>
                <w:szCs w:val="22"/>
              </w:rPr>
            </w:pPr>
            <w:r>
              <w:rPr>
                <w:rFonts w:asciiTheme="minorHAnsi" w:hAnsiTheme="minorHAnsi"/>
                <w:b/>
                <w:sz w:val="22"/>
                <w:szCs w:val="22"/>
              </w:rPr>
              <w:t>April 23 – May 4</w:t>
            </w:r>
          </w:p>
        </w:tc>
      </w:tr>
      <w:tr w:rsidR="008F65E2" w:rsidRPr="007E04DC" w:rsidTr="007E04DC">
        <w:tc>
          <w:tcPr>
            <w:tcW w:w="2970" w:type="dxa"/>
            <w:shd w:val="clear" w:color="auto" w:fill="DEEAF6" w:themeFill="accent1" w:themeFillTint="33"/>
          </w:tcPr>
          <w:p w:rsidR="008F65E2" w:rsidRPr="007E04DC" w:rsidRDefault="00D51703" w:rsidP="00D51703">
            <w:pPr>
              <w:rPr>
                <w:rFonts w:asciiTheme="minorHAnsi" w:hAnsiTheme="minorHAnsi"/>
                <w:sz w:val="22"/>
                <w:szCs w:val="22"/>
              </w:rPr>
            </w:pPr>
            <w:r w:rsidRPr="001B58B4">
              <w:rPr>
                <w:rFonts w:asciiTheme="minorHAnsi" w:hAnsiTheme="minorHAnsi"/>
                <w:b/>
                <w:sz w:val="22"/>
                <w:szCs w:val="22"/>
              </w:rPr>
              <w:t>Module 3:</w:t>
            </w:r>
            <w:r w:rsidRPr="007E04DC">
              <w:rPr>
                <w:rFonts w:asciiTheme="minorHAnsi" w:hAnsiTheme="minorHAnsi"/>
                <w:sz w:val="22"/>
                <w:szCs w:val="22"/>
              </w:rPr>
              <w:t xml:space="preserve"> </w:t>
            </w:r>
            <w:r w:rsidRPr="007E04DC">
              <w:rPr>
                <w:rFonts w:asciiTheme="minorHAnsi" w:hAnsiTheme="minorHAnsi"/>
                <w:i/>
                <w:sz w:val="22"/>
                <w:szCs w:val="22"/>
              </w:rPr>
              <w:t>Who are the key stakeholders we need to engage?</w:t>
            </w:r>
          </w:p>
        </w:tc>
        <w:tc>
          <w:tcPr>
            <w:tcW w:w="5130" w:type="dxa"/>
            <w:shd w:val="clear" w:color="auto" w:fill="DEEAF6" w:themeFill="accent1" w:themeFillTint="33"/>
          </w:tcPr>
          <w:p w:rsidR="008F65E2" w:rsidRPr="007E04DC" w:rsidRDefault="00D51703" w:rsidP="00D51703">
            <w:pPr>
              <w:rPr>
                <w:rFonts w:asciiTheme="minorHAnsi" w:hAnsiTheme="minorHAnsi"/>
                <w:sz w:val="22"/>
                <w:szCs w:val="22"/>
              </w:rPr>
            </w:pPr>
            <w:r w:rsidRPr="007E04DC">
              <w:rPr>
                <w:rFonts w:asciiTheme="minorHAnsi" w:hAnsiTheme="minorHAnsi" w:cs="Arial"/>
                <w:color w:val="000000"/>
                <w:sz w:val="22"/>
                <w:szCs w:val="22"/>
              </w:rPr>
              <w:t>Develop a rich and empathetic understanding of the stakeholders involved in our change work by exploring their values, loyalties an</w:t>
            </w:r>
            <w:r w:rsidR="002D3AEC">
              <w:rPr>
                <w:rFonts w:asciiTheme="minorHAnsi" w:hAnsiTheme="minorHAnsi" w:cs="Arial"/>
                <w:color w:val="000000"/>
                <w:sz w:val="22"/>
                <w:szCs w:val="22"/>
              </w:rPr>
              <w:t>d what they stand to lose</w:t>
            </w:r>
            <w:r w:rsidRPr="007E04DC">
              <w:rPr>
                <w:rFonts w:asciiTheme="minorHAnsi" w:hAnsiTheme="minorHAnsi" w:cs="Arial"/>
                <w:color w:val="000000"/>
                <w:sz w:val="22"/>
                <w:szCs w:val="22"/>
              </w:rPr>
              <w:t xml:space="preserve"> for them.</w:t>
            </w:r>
          </w:p>
        </w:tc>
        <w:tc>
          <w:tcPr>
            <w:tcW w:w="3150" w:type="dxa"/>
            <w:shd w:val="clear" w:color="auto" w:fill="DEEAF6" w:themeFill="accent1" w:themeFillTint="33"/>
          </w:tcPr>
          <w:p w:rsidR="00653CFE" w:rsidRPr="007E04DC" w:rsidRDefault="00B44ED8" w:rsidP="00D51703">
            <w:pPr>
              <w:rPr>
                <w:rFonts w:asciiTheme="minorHAnsi" w:hAnsiTheme="minorHAnsi"/>
                <w:sz w:val="22"/>
                <w:szCs w:val="22"/>
              </w:rPr>
            </w:pPr>
            <w:r>
              <w:rPr>
                <w:rFonts w:asciiTheme="minorHAnsi" w:hAnsiTheme="minorHAnsi"/>
                <w:b/>
                <w:sz w:val="22"/>
                <w:szCs w:val="22"/>
              </w:rPr>
              <w:t>May 7 – May 18</w:t>
            </w:r>
          </w:p>
        </w:tc>
      </w:tr>
      <w:tr w:rsidR="008F65E2" w:rsidRPr="007E04DC" w:rsidTr="007E04DC">
        <w:tc>
          <w:tcPr>
            <w:tcW w:w="2970" w:type="dxa"/>
            <w:shd w:val="clear" w:color="auto" w:fill="DEEAF6" w:themeFill="accent1" w:themeFillTint="33"/>
          </w:tcPr>
          <w:p w:rsidR="008F65E2" w:rsidRPr="007E04DC" w:rsidRDefault="00D51703" w:rsidP="00D51703">
            <w:pPr>
              <w:rPr>
                <w:rFonts w:asciiTheme="minorHAnsi" w:hAnsiTheme="minorHAnsi"/>
                <w:sz w:val="22"/>
                <w:szCs w:val="22"/>
              </w:rPr>
            </w:pPr>
            <w:r w:rsidRPr="001B58B4">
              <w:rPr>
                <w:rFonts w:asciiTheme="minorHAnsi" w:hAnsiTheme="minorHAnsi"/>
                <w:b/>
                <w:sz w:val="22"/>
                <w:szCs w:val="22"/>
              </w:rPr>
              <w:t>Module 4:</w:t>
            </w:r>
            <w:r w:rsidRPr="007E04DC">
              <w:rPr>
                <w:rFonts w:asciiTheme="minorHAnsi" w:hAnsiTheme="minorHAnsi"/>
                <w:sz w:val="22"/>
                <w:szCs w:val="22"/>
              </w:rPr>
              <w:t xml:space="preserve"> </w:t>
            </w:r>
            <w:r w:rsidRPr="007E04DC">
              <w:rPr>
                <w:rFonts w:asciiTheme="minorHAnsi" w:hAnsiTheme="minorHAnsi"/>
                <w:i/>
                <w:sz w:val="22"/>
                <w:szCs w:val="22"/>
              </w:rPr>
              <w:t>How can we make more progress than we have to date?</w:t>
            </w:r>
          </w:p>
        </w:tc>
        <w:tc>
          <w:tcPr>
            <w:tcW w:w="5130" w:type="dxa"/>
            <w:shd w:val="clear" w:color="auto" w:fill="DEEAF6" w:themeFill="accent1" w:themeFillTint="33"/>
          </w:tcPr>
          <w:p w:rsidR="008F65E2" w:rsidRPr="007E04DC" w:rsidRDefault="00D51703" w:rsidP="00D51703">
            <w:pPr>
              <w:rPr>
                <w:rFonts w:asciiTheme="minorHAnsi" w:hAnsiTheme="minorHAnsi"/>
                <w:sz w:val="22"/>
                <w:szCs w:val="22"/>
              </w:rPr>
            </w:pPr>
            <w:r w:rsidRPr="007E04DC">
              <w:rPr>
                <w:rFonts w:asciiTheme="minorHAnsi" w:hAnsiTheme="minorHAnsi" w:cs="Arial"/>
                <w:color w:val="000000"/>
                <w:sz w:val="22"/>
                <w:szCs w:val="22"/>
              </w:rPr>
              <w:t>Enhance our ability to surface the competing commitments and values that may be impeding progress, while preserving our relationships. </w:t>
            </w:r>
          </w:p>
        </w:tc>
        <w:tc>
          <w:tcPr>
            <w:tcW w:w="3150" w:type="dxa"/>
            <w:shd w:val="clear" w:color="auto" w:fill="DEEAF6" w:themeFill="accent1" w:themeFillTint="33"/>
          </w:tcPr>
          <w:p w:rsidR="00653CFE" w:rsidRPr="007E04DC" w:rsidRDefault="00B44ED8" w:rsidP="00653CFE">
            <w:pPr>
              <w:rPr>
                <w:rFonts w:asciiTheme="minorHAnsi" w:hAnsiTheme="minorHAnsi"/>
                <w:sz w:val="22"/>
                <w:szCs w:val="22"/>
              </w:rPr>
            </w:pPr>
            <w:r>
              <w:rPr>
                <w:rFonts w:asciiTheme="minorHAnsi" w:hAnsiTheme="minorHAnsi"/>
                <w:b/>
                <w:sz w:val="22"/>
                <w:szCs w:val="22"/>
              </w:rPr>
              <w:t xml:space="preserve">May 21 </w:t>
            </w:r>
            <w:r w:rsidR="00197D47">
              <w:rPr>
                <w:rFonts w:asciiTheme="minorHAnsi" w:hAnsiTheme="minorHAnsi"/>
                <w:b/>
                <w:sz w:val="22"/>
                <w:szCs w:val="22"/>
              </w:rPr>
              <w:t>–</w:t>
            </w:r>
            <w:r>
              <w:rPr>
                <w:rFonts w:asciiTheme="minorHAnsi" w:hAnsiTheme="minorHAnsi"/>
                <w:b/>
                <w:sz w:val="22"/>
                <w:szCs w:val="22"/>
              </w:rPr>
              <w:t xml:space="preserve"> </w:t>
            </w:r>
            <w:r w:rsidR="00197D47">
              <w:rPr>
                <w:rFonts w:asciiTheme="minorHAnsi" w:hAnsiTheme="minorHAnsi"/>
                <w:b/>
                <w:sz w:val="22"/>
                <w:szCs w:val="22"/>
              </w:rPr>
              <w:t>June 1</w:t>
            </w:r>
          </w:p>
        </w:tc>
      </w:tr>
    </w:tbl>
    <w:p w:rsidR="008F65E2" w:rsidRPr="00D51703" w:rsidRDefault="008F65E2" w:rsidP="00D51703">
      <w:pPr>
        <w:jc w:val="both"/>
        <w:rPr>
          <w:rFonts w:asciiTheme="minorHAnsi" w:hAnsiTheme="minorHAnsi"/>
        </w:rPr>
      </w:pPr>
    </w:p>
    <w:p w:rsidR="007E04DC" w:rsidRDefault="00197D47" w:rsidP="007E04DC">
      <w:pPr>
        <w:rPr>
          <w:rFonts w:asciiTheme="minorHAnsi" w:hAnsiTheme="minorHAnsi"/>
          <w:b/>
          <w:i/>
          <w:color w:val="000000"/>
        </w:rPr>
      </w:pPr>
      <w:r>
        <w:rPr>
          <w:rFonts w:asciiTheme="minorHAnsi" w:hAnsiTheme="minorHAnsi"/>
          <w:b/>
          <w:i/>
          <w:color w:val="000000"/>
        </w:rPr>
        <w:t xml:space="preserve">The orientation and each module will include 2 hours of live calls and approximately 2 hours of material review and assignments. Each module will </w:t>
      </w:r>
      <w:r w:rsidRPr="00197D47">
        <w:rPr>
          <w:rFonts w:asciiTheme="minorHAnsi" w:hAnsiTheme="minorHAnsi"/>
          <w:b/>
          <w:i/>
          <w:color w:val="000000"/>
        </w:rPr>
        <w:t>have a reading, podcast or video explaining the core concept of that module and a worksheet or tool that guides you in applying the concept to your own leadership challenge</w:t>
      </w:r>
      <w:r>
        <w:rPr>
          <w:rFonts w:asciiTheme="minorHAnsi" w:hAnsiTheme="minorHAnsi"/>
          <w:b/>
          <w:i/>
          <w:color w:val="000000"/>
        </w:rPr>
        <w:t xml:space="preserve">. </w:t>
      </w:r>
      <w:r w:rsidRPr="001B58B4">
        <w:rPr>
          <w:rFonts w:asciiTheme="minorHAnsi" w:hAnsiTheme="minorHAnsi"/>
          <w:b/>
          <w:i/>
          <w:color w:val="000000"/>
        </w:rPr>
        <w:t xml:space="preserve">Each module will follow </w:t>
      </w:r>
      <w:r>
        <w:rPr>
          <w:rFonts w:asciiTheme="minorHAnsi" w:hAnsiTheme="minorHAnsi"/>
          <w:b/>
          <w:i/>
          <w:color w:val="000000"/>
        </w:rPr>
        <w:t>a similar structure and timeline.</w:t>
      </w:r>
    </w:p>
    <w:p w:rsidR="001B58B4" w:rsidRPr="001B58B4" w:rsidRDefault="001B58B4" w:rsidP="007E04DC">
      <w:pPr>
        <w:rPr>
          <w:rFonts w:asciiTheme="minorHAnsi" w:hAnsiTheme="minorHAnsi"/>
          <w:b/>
          <w:i/>
          <w:color w:val="000000"/>
        </w:rPr>
      </w:pPr>
    </w:p>
    <w:p w:rsidR="001B58B4" w:rsidRPr="001B58B4" w:rsidRDefault="001B58B4" w:rsidP="001B58B4">
      <w:pPr>
        <w:rPr>
          <w:rFonts w:asciiTheme="minorHAnsi" w:hAnsiTheme="minorHAnsi"/>
          <w:b/>
          <w:color w:val="000000"/>
          <w:sz w:val="22"/>
          <w:szCs w:val="22"/>
        </w:rPr>
      </w:pPr>
      <w:r w:rsidRPr="001B58B4">
        <w:rPr>
          <w:rFonts w:asciiTheme="minorHAnsi" w:hAnsiTheme="minorHAnsi"/>
          <w:b/>
          <w:color w:val="000000"/>
          <w:sz w:val="22"/>
          <w:szCs w:val="22"/>
        </w:rPr>
        <w:t>Week 1:</w:t>
      </w:r>
    </w:p>
    <w:p w:rsidR="007E04DC" w:rsidRPr="001B58B4" w:rsidRDefault="004D37F4" w:rsidP="006C5DF0">
      <w:pPr>
        <w:pStyle w:val="ListParagraph"/>
        <w:numPr>
          <w:ilvl w:val="0"/>
          <w:numId w:val="11"/>
        </w:numPr>
        <w:ind w:left="360"/>
        <w:rPr>
          <w:rFonts w:asciiTheme="minorHAnsi" w:hAnsiTheme="minorHAnsi"/>
        </w:rPr>
      </w:pPr>
      <w:r>
        <w:rPr>
          <w:rFonts w:asciiTheme="minorHAnsi" w:hAnsiTheme="minorHAnsi"/>
          <w:b/>
          <w:color w:val="000000"/>
        </w:rPr>
        <w:t>Tuesday</w:t>
      </w:r>
      <w:r w:rsidR="00197D47">
        <w:rPr>
          <w:rFonts w:asciiTheme="minorHAnsi" w:hAnsiTheme="minorHAnsi"/>
          <w:color w:val="000000"/>
        </w:rPr>
        <w:t>: Live Learning Session 3:00 pm – 4:00 pm EST (encouraged to attend all, required to attend at least 2)</w:t>
      </w:r>
    </w:p>
    <w:p w:rsidR="007E04DC" w:rsidRPr="001B58B4" w:rsidRDefault="00197D47" w:rsidP="006C5DF0">
      <w:pPr>
        <w:pStyle w:val="ListParagraph"/>
        <w:numPr>
          <w:ilvl w:val="0"/>
          <w:numId w:val="11"/>
        </w:numPr>
        <w:spacing w:after="0" w:line="240" w:lineRule="auto"/>
        <w:ind w:left="360"/>
        <w:rPr>
          <w:rFonts w:asciiTheme="minorHAnsi" w:hAnsiTheme="minorHAnsi"/>
        </w:rPr>
      </w:pPr>
      <w:r>
        <w:rPr>
          <w:rFonts w:asciiTheme="minorHAnsi" w:hAnsiTheme="minorHAnsi"/>
          <w:b/>
          <w:color w:val="000000"/>
        </w:rPr>
        <w:t>Thursday</w:t>
      </w:r>
      <w:r w:rsidR="007E04DC" w:rsidRPr="001B58B4">
        <w:rPr>
          <w:rFonts w:asciiTheme="minorHAnsi" w:hAnsiTheme="minorHAnsi"/>
          <w:b/>
          <w:color w:val="000000"/>
        </w:rPr>
        <w:t>:</w:t>
      </w:r>
      <w:r w:rsidR="007E04DC" w:rsidRPr="001B58B4">
        <w:rPr>
          <w:rFonts w:asciiTheme="minorHAnsi" w:hAnsiTheme="minorHAnsi"/>
          <w:color w:val="000000"/>
        </w:rPr>
        <w:t xml:space="preserve"> Worksheets</w:t>
      </w:r>
      <w:r>
        <w:rPr>
          <w:rFonts w:asciiTheme="minorHAnsi" w:hAnsiTheme="minorHAnsi"/>
          <w:color w:val="000000"/>
        </w:rPr>
        <w:t xml:space="preserve"> assignments are due </w:t>
      </w:r>
      <w:r w:rsidR="007E04DC" w:rsidRPr="001B58B4">
        <w:rPr>
          <w:rFonts w:asciiTheme="minorHAnsi" w:hAnsiTheme="minorHAnsi"/>
          <w:color w:val="000000"/>
        </w:rPr>
        <w:t xml:space="preserve">for feedback on from NACCHO staff </w:t>
      </w:r>
    </w:p>
    <w:p w:rsidR="001B58B4" w:rsidRPr="001B58B4" w:rsidRDefault="001B58B4" w:rsidP="006C5DF0">
      <w:pPr>
        <w:rPr>
          <w:rFonts w:asciiTheme="minorHAnsi" w:hAnsiTheme="minorHAnsi"/>
          <w:b/>
          <w:sz w:val="22"/>
          <w:szCs w:val="22"/>
        </w:rPr>
      </w:pPr>
      <w:r w:rsidRPr="001B58B4">
        <w:rPr>
          <w:rFonts w:asciiTheme="minorHAnsi" w:hAnsiTheme="minorHAnsi"/>
          <w:b/>
          <w:sz w:val="22"/>
          <w:szCs w:val="22"/>
        </w:rPr>
        <w:t>Week 2:</w:t>
      </w:r>
    </w:p>
    <w:p w:rsidR="007E04DC" w:rsidRDefault="00197D47" w:rsidP="006C5DF0">
      <w:pPr>
        <w:pStyle w:val="ListParagraph"/>
        <w:numPr>
          <w:ilvl w:val="0"/>
          <w:numId w:val="11"/>
        </w:numPr>
        <w:spacing w:after="0" w:line="240" w:lineRule="auto"/>
        <w:ind w:left="360"/>
        <w:rPr>
          <w:rFonts w:asciiTheme="minorHAnsi" w:hAnsiTheme="minorHAnsi"/>
          <w:color w:val="000000"/>
        </w:rPr>
      </w:pPr>
      <w:r>
        <w:rPr>
          <w:rFonts w:asciiTheme="minorHAnsi" w:hAnsiTheme="minorHAnsi"/>
          <w:b/>
          <w:color w:val="000000"/>
        </w:rPr>
        <w:t xml:space="preserve">Wednesday: </w:t>
      </w:r>
      <w:r>
        <w:rPr>
          <w:rFonts w:asciiTheme="minorHAnsi" w:hAnsiTheme="minorHAnsi"/>
          <w:color w:val="000000"/>
        </w:rPr>
        <w:t>Peer Advising Option 1: 2:00 pm – 3:00 pm EST</w:t>
      </w:r>
      <w:r w:rsidR="00024B69">
        <w:rPr>
          <w:rFonts w:asciiTheme="minorHAnsi" w:hAnsiTheme="minorHAnsi"/>
          <w:color w:val="000000"/>
        </w:rPr>
        <w:t xml:space="preserve"> (encouraged to attend all, required to attend at least 2)</w:t>
      </w:r>
    </w:p>
    <w:p w:rsidR="00024B69" w:rsidRDefault="00197D47" w:rsidP="006C5DF0">
      <w:pPr>
        <w:pStyle w:val="ListParagraph"/>
        <w:numPr>
          <w:ilvl w:val="0"/>
          <w:numId w:val="11"/>
        </w:numPr>
        <w:spacing w:after="0" w:line="240" w:lineRule="auto"/>
        <w:ind w:left="360"/>
        <w:rPr>
          <w:rFonts w:asciiTheme="minorHAnsi" w:hAnsiTheme="minorHAnsi"/>
          <w:color w:val="000000"/>
        </w:rPr>
      </w:pPr>
      <w:r>
        <w:rPr>
          <w:rFonts w:asciiTheme="minorHAnsi" w:hAnsiTheme="minorHAnsi"/>
          <w:b/>
          <w:color w:val="000000"/>
        </w:rPr>
        <w:t>Thursday:</w:t>
      </w:r>
      <w:r>
        <w:rPr>
          <w:rFonts w:asciiTheme="minorHAnsi" w:hAnsiTheme="minorHAnsi"/>
          <w:color w:val="000000"/>
        </w:rPr>
        <w:t xml:space="preserve"> Peer Advising Option 2: 3:00 pm – 4:00 pm EST (en</w:t>
      </w:r>
      <w:r w:rsidR="00024B69">
        <w:rPr>
          <w:rFonts w:asciiTheme="minorHAnsi" w:hAnsiTheme="minorHAnsi"/>
          <w:color w:val="000000"/>
        </w:rPr>
        <w:t>couraged to attend all, required to attend at least 2)</w:t>
      </w:r>
    </w:p>
    <w:p w:rsidR="00600CC4" w:rsidRPr="00024B69" w:rsidRDefault="004B7650" w:rsidP="006C5DF0">
      <w:pPr>
        <w:pStyle w:val="ListParagraph"/>
        <w:numPr>
          <w:ilvl w:val="0"/>
          <w:numId w:val="11"/>
        </w:numPr>
        <w:spacing w:after="0" w:line="240" w:lineRule="auto"/>
        <w:ind w:left="360"/>
        <w:rPr>
          <w:rFonts w:asciiTheme="minorHAnsi" w:hAnsiTheme="minorHAnsi"/>
          <w:color w:val="000000"/>
        </w:rPr>
      </w:pPr>
      <w:r w:rsidRPr="00024B69">
        <w:rPr>
          <w:rFonts w:asciiTheme="minorHAnsi" w:hAnsiTheme="minorHAnsi"/>
          <w:b/>
          <w:color w:val="000000"/>
        </w:rPr>
        <w:t>Friday:</w:t>
      </w:r>
      <w:r w:rsidRPr="00024B69">
        <w:rPr>
          <w:rFonts w:asciiTheme="minorHAnsi" w:hAnsiTheme="minorHAnsi"/>
          <w:color w:val="000000"/>
        </w:rPr>
        <w:t xml:space="preserve"> Worksheets returned to participants</w:t>
      </w:r>
    </w:p>
    <w:sectPr w:rsidR="00600CC4" w:rsidRPr="00024B69" w:rsidSect="00050DA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69" w:rsidRDefault="00024B69" w:rsidP="006B0D62">
      <w:r>
        <w:separator/>
      </w:r>
    </w:p>
  </w:endnote>
  <w:endnote w:type="continuationSeparator" w:id="0">
    <w:p w:rsidR="00024B69" w:rsidRDefault="00024B69" w:rsidP="006B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25" w:rsidRDefault="00742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69" w:rsidRDefault="008E3481">
    <w:pPr>
      <w:pStyle w:val="Footer"/>
    </w:pPr>
    <w:r>
      <w:rPr>
        <w:rFonts w:ascii="Arial" w:hAnsi="Arial"/>
        <w:noProof/>
      </w:rPr>
      <w:drawing>
        <wp:inline distT="0" distB="0" distL="0" distR="0" wp14:anchorId="0BD28A42" wp14:editId="270EC58E">
          <wp:extent cx="67151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gos, Images &amp; Graphic Files\Templates\Letterhead Template\letterhead electronic\letterhead-electronic-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15125" cy="89535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25" w:rsidRDefault="00742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69" w:rsidRDefault="00024B69" w:rsidP="006B0D62">
      <w:r>
        <w:separator/>
      </w:r>
    </w:p>
  </w:footnote>
  <w:footnote w:type="continuationSeparator" w:id="0">
    <w:p w:rsidR="00024B69" w:rsidRDefault="00024B69" w:rsidP="006B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25" w:rsidRDefault="00742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69" w:rsidRDefault="00024B69">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-116683</wp:posOffset>
              </wp:positionV>
              <wp:extent cx="3661410" cy="621508"/>
              <wp:effectExtent l="0" t="0" r="0" b="7620"/>
              <wp:wrapSquare wrapText="bothSides"/>
              <wp:docPr id="200" name="Text Box 200"/>
              <wp:cNvGraphicFramePr/>
              <a:graphic xmlns:a="http://schemas.openxmlformats.org/drawingml/2006/main">
                <a:graphicData uri="http://schemas.microsoft.com/office/word/2010/wordprocessingShape">
                  <wps:wsp>
                    <wps:cNvSpPr txBox="1"/>
                    <wps:spPr>
                      <a:xfrm>
                        <a:off x="0" y="0"/>
                        <a:ext cx="3661410" cy="6215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B69" w:rsidRPr="007E04DC" w:rsidRDefault="00024B69" w:rsidP="007E04DC">
                          <w:pPr>
                            <w:pStyle w:val="Header"/>
                            <w:jc w:val="center"/>
                            <w:rPr>
                              <w:rFonts w:asciiTheme="minorHAnsi" w:hAnsiTheme="minorHAnsi"/>
                              <w:b/>
                              <w:sz w:val="22"/>
                              <w:szCs w:val="22"/>
                            </w:rPr>
                          </w:pPr>
                          <w:r w:rsidRPr="007E04DC">
                            <w:rPr>
                              <w:rFonts w:asciiTheme="minorHAnsi" w:hAnsiTheme="minorHAnsi"/>
                              <w:b/>
                              <w:sz w:val="22"/>
                              <w:szCs w:val="22"/>
                            </w:rPr>
                            <w:t>Leading Adaptive Change in Public Health</w:t>
                          </w:r>
                        </w:p>
                        <w:p w:rsidR="00024B69" w:rsidRPr="007E04DC" w:rsidRDefault="00024B69" w:rsidP="007E04DC">
                          <w:pPr>
                            <w:pStyle w:val="Header"/>
                            <w:jc w:val="center"/>
                            <w:rPr>
                              <w:rFonts w:asciiTheme="minorHAnsi" w:hAnsiTheme="minorHAnsi"/>
                              <w:b/>
                              <w:sz w:val="22"/>
                              <w:szCs w:val="22"/>
                            </w:rPr>
                          </w:pPr>
                          <w:r w:rsidRPr="007E04DC">
                            <w:rPr>
                              <w:rFonts w:asciiTheme="minorHAnsi" w:hAnsiTheme="minorHAnsi"/>
                              <w:b/>
                              <w:sz w:val="22"/>
                              <w:szCs w:val="22"/>
                            </w:rPr>
                            <w:t>Course</w:t>
                          </w:r>
                          <w:r w:rsidR="00742C25">
                            <w:rPr>
                              <w:rFonts w:asciiTheme="minorHAnsi" w:hAnsiTheme="minorHAnsi"/>
                              <w:b/>
                              <w:sz w:val="22"/>
                              <w:szCs w:val="22"/>
                            </w:rPr>
                            <w:t xml:space="preserve"> Roadmap</w:t>
                          </w:r>
                        </w:p>
                        <w:p w:rsidR="00024B69" w:rsidRPr="007E04DC" w:rsidRDefault="006C5DF0" w:rsidP="007E04DC">
                          <w:pPr>
                            <w:pStyle w:val="Header"/>
                            <w:jc w:val="center"/>
                            <w:rPr>
                              <w:rFonts w:asciiTheme="minorHAnsi" w:hAnsiTheme="minorHAnsi"/>
                              <w:b/>
                              <w:sz w:val="22"/>
                              <w:szCs w:val="22"/>
                            </w:rPr>
                          </w:pPr>
                          <w:r>
                            <w:rPr>
                              <w:rFonts w:asciiTheme="minorHAnsi" w:hAnsiTheme="minorHAnsi"/>
                              <w:b/>
                              <w:sz w:val="22"/>
                              <w:szCs w:val="22"/>
                            </w:rPr>
                            <w:t>April 2 – June 1, 2018</w:t>
                          </w:r>
                        </w:p>
                        <w:p w:rsidR="00024B69" w:rsidRDefault="00024B6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0" o:spid="_x0000_s1026" type="#_x0000_t202" style="position:absolute;margin-left:273pt;margin-top:-9.2pt;width:288.3pt;height:4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" filled="f" stroked="f" strokeweight=".5pt">
              <v:textbox inset=",7.2pt,,0">
                <w:txbxContent>
                  <w:p w:rsidR="00024B69" w:rsidRPr="007E04DC" w:rsidRDefault="00024B69" w:rsidP="007E04DC">
                    <w:pPr>
                      <w:pStyle w:val="Header"/>
                      <w:jc w:val="center"/>
                      <w:rPr>
                        <w:rFonts w:asciiTheme="minorHAnsi" w:hAnsiTheme="minorHAnsi"/>
                        <w:b/>
                        <w:sz w:val="22"/>
                        <w:szCs w:val="22"/>
                      </w:rPr>
                    </w:pPr>
                    <w:r w:rsidRPr="007E04DC">
                      <w:rPr>
                        <w:rFonts w:asciiTheme="minorHAnsi" w:hAnsiTheme="minorHAnsi"/>
                        <w:b/>
                        <w:sz w:val="22"/>
                        <w:szCs w:val="22"/>
                      </w:rPr>
                      <w:t>Leading Adaptive Change in Public Health</w:t>
                    </w:r>
                  </w:p>
                  <w:p w:rsidR="00024B69" w:rsidRPr="007E04DC" w:rsidRDefault="00024B69" w:rsidP="007E04DC">
                    <w:pPr>
                      <w:pStyle w:val="Header"/>
                      <w:jc w:val="center"/>
                      <w:rPr>
                        <w:rFonts w:asciiTheme="minorHAnsi" w:hAnsiTheme="minorHAnsi"/>
                        <w:b/>
                        <w:sz w:val="22"/>
                        <w:szCs w:val="22"/>
                      </w:rPr>
                    </w:pPr>
                    <w:r w:rsidRPr="007E04DC">
                      <w:rPr>
                        <w:rFonts w:asciiTheme="minorHAnsi" w:hAnsiTheme="minorHAnsi"/>
                        <w:b/>
                        <w:sz w:val="22"/>
                        <w:szCs w:val="22"/>
                      </w:rPr>
                      <w:t>Course</w:t>
                    </w:r>
                    <w:r w:rsidR="00742C25">
                      <w:rPr>
                        <w:rFonts w:asciiTheme="minorHAnsi" w:hAnsiTheme="minorHAnsi"/>
                        <w:b/>
                        <w:sz w:val="22"/>
                        <w:szCs w:val="22"/>
                      </w:rPr>
                      <w:t xml:space="preserve"> Roadmap</w:t>
                    </w:r>
                    <w:bookmarkStart w:id="1" w:name="_GoBack"/>
                    <w:bookmarkEnd w:id="1"/>
                  </w:p>
                  <w:p w:rsidR="00024B69" w:rsidRPr="007E04DC" w:rsidRDefault="006C5DF0" w:rsidP="007E04DC">
                    <w:pPr>
                      <w:pStyle w:val="Header"/>
                      <w:jc w:val="center"/>
                      <w:rPr>
                        <w:rFonts w:asciiTheme="minorHAnsi" w:hAnsiTheme="minorHAnsi"/>
                        <w:b/>
                        <w:sz w:val="22"/>
                        <w:szCs w:val="22"/>
                      </w:rPr>
                    </w:pPr>
                    <w:r>
                      <w:rPr>
                        <w:rFonts w:asciiTheme="minorHAnsi" w:hAnsiTheme="minorHAnsi"/>
                        <w:b/>
                        <w:sz w:val="22"/>
                        <w:szCs w:val="22"/>
                      </w:rPr>
                      <w:t>April 2 – June 1, 2018</w:t>
                    </w:r>
                  </w:p>
                  <w:p w:rsidR="00024B69" w:rsidRDefault="00024B69">
                    <w:pPr>
                      <w:rPr>
                        <w:caps/>
                        <w:color w:val="5B9BD5" w:themeColor="accent1"/>
                        <w:sz w:val="26"/>
                        <w:szCs w:val="26"/>
                      </w:rPr>
                    </w:pPr>
                  </w:p>
                </w:txbxContent>
              </v:textbox>
              <w10:wrap type="square"/>
            </v:shape>
          </w:pict>
        </mc:Fallback>
      </mc:AlternateContent>
    </w:r>
    <w:r>
      <w:rPr>
        <w:noProof/>
      </w:rPr>
      <w:drawing>
        <wp:inline distT="0" distB="0" distL="0" distR="0" wp14:anchorId="11561B69" wp14:editId="2F663C73">
          <wp:extent cx="2058160" cy="704850"/>
          <wp:effectExtent l="0" t="0" r="0" b="0"/>
          <wp:docPr id="3" name="Picture 3" descr="NACCHO_tagline_color_pms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HO_tagline_color_pms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512" cy="70736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25" w:rsidRDefault="00742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DB3"/>
    <w:multiLevelType w:val="hybridMultilevel"/>
    <w:tmpl w:val="B2F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3C62"/>
    <w:multiLevelType w:val="hybridMultilevel"/>
    <w:tmpl w:val="61F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13A1"/>
    <w:multiLevelType w:val="hybridMultilevel"/>
    <w:tmpl w:val="75BC2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949E5"/>
    <w:multiLevelType w:val="hybridMultilevel"/>
    <w:tmpl w:val="20D6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42DDF"/>
    <w:multiLevelType w:val="hybridMultilevel"/>
    <w:tmpl w:val="6A1E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56264"/>
    <w:multiLevelType w:val="hybridMultilevel"/>
    <w:tmpl w:val="ABFA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03E22"/>
    <w:multiLevelType w:val="hybridMultilevel"/>
    <w:tmpl w:val="7BA25544"/>
    <w:lvl w:ilvl="0" w:tplc="F970BE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32943"/>
    <w:multiLevelType w:val="hybridMultilevel"/>
    <w:tmpl w:val="681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97BF2"/>
    <w:multiLevelType w:val="hybridMultilevel"/>
    <w:tmpl w:val="BE9C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C2D77"/>
    <w:multiLevelType w:val="hybridMultilevel"/>
    <w:tmpl w:val="BA22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C2EB7"/>
    <w:multiLevelType w:val="hybridMultilevel"/>
    <w:tmpl w:val="2102B950"/>
    <w:lvl w:ilvl="0" w:tplc="5286305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5"/>
  </w:num>
  <w:num w:numId="6">
    <w:abstractNumId w:val="8"/>
  </w:num>
  <w:num w:numId="7">
    <w:abstractNumId w:val="1"/>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C9"/>
    <w:rsid w:val="00024B69"/>
    <w:rsid w:val="0003202C"/>
    <w:rsid w:val="00040925"/>
    <w:rsid w:val="00050DA3"/>
    <w:rsid w:val="00063744"/>
    <w:rsid w:val="0008560B"/>
    <w:rsid w:val="0009441B"/>
    <w:rsid w:val="000A10F1"/>
    <w:rsid w:val="000B1DA8"/>
    <w:rsid w:val="000B4C3A"/>
    <w:rsid w:val="000F65D0"/>
    <w:rsid w:val="000F7D13"/>
    <w:rsid w:val="001502B1"/>
    <w:rsid w:val="00197D47"/>
    <w:rsid w:val="001B58B4"/>
    <w:rsid w:val="001C1A76"/>
    <w:rsid w:val="001C3829"/>
    <w:rsid w:val="001D2A66"/>
    <w:rsid w:val="002061A9"/>
    <w:rsid w:val="00284526"/>
    <w:rsid w:val="002D3AEC"/>
    <w:rsid w:val="002F0B14"/>
    <w:rsid w:val="003356FC"/>
    <w:rsid w:val="00355B7B"/>
    <w:rsid w:val="00364A1D"/>
    <w:rsid w:val="003707C0"/>
    <w:rsid w:val="003A78D9"/>
    <w:rsid w:val="003C2C5F"/>
    <w:rsid w:val="003E1941"/>
    <w:rsid w:val="003E5055"/>
    <w:rsid w:val="003F7D6F"/>
    <w:rsid w:val="00412693"/>
    <w:rsid w:val="004239FE"/>
    <w:rsid w:val="00423F9E"/>
    <w:rsid w:val="0046226E"/>
    <w:rsid w:val="004B7650"/>
    <w:rsid w:val="004C38E7"/>
    <w:rsid w:val="004C4140"/>
    <w:rsid w:val="004D37F4"/>
    <w:rsid w:val="0054153E"/>
    <w:rsid w:val="00543259"/>
    <w:rsid w:val="00544304"/>
    <w:rsid w:val="0055066C"/>
    <w:rsid w:val="00577026"/>
    <w:rsid w:val="005942E9"/>
    <w:rsid w:val="005A0526"/>
    <w:rsid w:val="005A1B62"/>
    <w:rsid w:val="005B7EEF"/>
    <w:rsid w:val="005C3E4D"/>
    <w:rsid w:val="005C3E83"/>
    <w:rsid w:val="00600CC4"/>
    <w:rsid w:val="00604BB5"/>
    <w:rsid w:val="00611BCE"/>
    <w:rsid w:val="006301D4"/>
    <w:rsid w:val="00633236"/>
    <w:rsid w:val="00653CFE"/>
    <w:rsid w:val="00667FBD"/>
    <w:rsid w:val="00675014"/>
    <w:rsid w:val="00685B46"/>
    <w:rsid w:val="006B0D62"/>
    <w:rsid w:val="006C5DF0"/>
    <w:rsid w:val="006E5C38"/>
    <w:rsid w:val="00742C25"/>
    <w:rsid w:val="00743F1F"/>
    <w:rsid w:val="007639C3"/>
    <w:rsid w:val="0076596E"/>
    <w:rsid w:val="007944DD"/>
    <w:rsid w:val="007E04DC"/>
    <w:rsid w:val="008252FB"/>
    <w:rsid w:val="0082697B"/>
    <w:rsid w:val="00837CDB"/>
    <w:rsid w:val="00840B2D"/>
    <w:rsid w:val="00853843"/>
    <w:rsid w:val="008A6CC8"/>
    <w:rsid w:val="008A7997"/>
    <w:rsid w:val="008B5A12"/>
    <w:rsid w:val="008C44DE"/>
    <w:rsid w:val="008D36BC"/>
    <w:rsid w:val="008E3481"/>
    <w:rsid w:val="008F65E2"/>
    <w:rsid w:val="00917B9C"/>
    <w:rsid w:val="00923A29"/>
    <w:rsid w:val="00945F53"/>
    <w:rsid w:val="00957E6B"/>
    <w:rsid w:val="00974A8F"/>
    <w:rsid w:val="00974D3B"/>
    <w:rsid w:val="009773FE"/>
    <w:rsid w:val="00981861"/>
    <w:rsid w:val="00984FAB"/>
    <w:rsid w:val="009C062D"/>
    <w:rsid w:val="00A52906"/>
    <w:rsid w:val="00A816EF"/>
    <w:rsid w:val="00AC4E2A"/>
    <w:rsid w:val="00AD012E"/>
    <w:rsid w:val="00B01ED8"/>
    <w:rsid w:val="00B058EB"/>
    <w:rsid w:val="00B0596D"/>
    <w:rsid w:val="00B115E6"/>
    <w:rsid w:val="00B30CCC"/>
    <w:rsid w:val="00B3583F"/>
    <w:rsid w:val="00B362B6"/>
    <w:rsid w:val="00B40F4D"/>
    <w:rsid w:val="00B44ED8"/>
    <w:rsid w:val="00B53F58"/>
    <w:rsid w:val="00B65C20"/>
    <w:rsid w:val="00B72551"/>
    <w:rsid w:val="00B848AF"/>
    <w:rsid w:val="00B85842"/>
    <w:rsid w:val="00BA1FAD"/>
    <w:rsid w:val="00BA21C1"/>
    <w:rsid w:val="00BB5B6E"/>
    <w:rsid w:val="00BD4AAF"/>
    <w:rsid w:val="00C0602B"/>
    <w:rsid w:val="00C066F1"/>
    <w:rsid w:val="00C24996"/>
    <w:rsid w:val="00C33FD1"/>
    <w:rsid w:val="00C41994"/>
    <w:rsid w:val="00C41EB9"/>
    <w:rsid w:val="00C5038A"/>
    <w:rsid w:val="00C52762"/>
    <w:rsid w:val="00CB4ADB"/>
    <w:rsid w:val="00CF0C23"/>
    <w:rsid w:val="00CF7DF2"/>
    <w:rsid w:val="00CF7E96"/>
    <w:rsid w:val="00D06D59"/>
    <w:rsid w:val="00D07F5C"/>
    <w:rsid w:val="00D44DE4"/>
    <w:rsid w:val="00D51703"/>
    <w:rsid w:val="00D75D98"/>
    <w:rsid w:val="00D82FBD"/>
    <w:rsid w:val="00DE7C0A"/>
    <w:rsid w:val="00E004DB"/>
    <w:rsid w:val="00E40F7E"/>
    <w:rsid w:val="00E508EB"/>
    <w:rsid w:val="00E54472"/>
    <w:rsid w:val="00E74D75"/>
    <w:rsid w:val="00EA5101"/>
    <w:rsid w:val="00EA7ACF"/>
    <w:rsid w:val="00EE0709"/>
    <w:rsid w:val="00EE48C9"/>
    <w:rsid w:val="00EF31E5"/>
    <w:rsid w:val="00F33F8B"/>
    <w:rsid w:val="00F36575"/>
    <w:rsid w:val="00F85C1C"/>
    <w:rsid w:val="00F85C88"/>
    <w:rsid w:val="00F96E4A"/>
    <w:rsid w:val="00FA03BC"/>
    <w:rsid w:val="00FB510D"/>
    <w:rsid w:val="00FE393D"/>
    <w:rsid w:val="00FE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790E6E0-EEE2-4AC4-AC45-E00E3B3B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0F1"/>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0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96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45F53"/>
    <w:rPr>
      <w:sz w:val="18"/>
      <w:szCs w:val="18"/>
    </w:rPr>
  </w:style>
  <w:style w:type="paragraph" w:styleId="CommentText">
    <w:name w:val="annotation text"/>
    <w:basedOn w:val="Normal"/>
    <w:link w:val="CommentTextChar"/>
    <w:uiPriority w:val="99"/>
    <w:semiHidden/>
    <w:unhideWhenUsed/>
    <w:rsid w:val="00945F53"/>
  </w:style>
  <w:style w:type="character" w:customStyle="1" w:styleId="CommentTextChar">
    <w:name w:val="Comment Text Char"/>
    <w:basedOn w:val="DefaultParagraphFont"/>
    <w:link w:val="CommentText"/>
    <w:uiPriority w:val="99"/>
    <w:semiHidden/>
    <w:rsid w:val="00945F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45F53"/>
    <w:rPr>
      <w:b/>
      <w:bCs/>
      <w:sz w:val="20"/>
      <w:szCs w:val="20"/>
    </w:rPr>
  </w:style>
  <w:style w:type="character" w:customStyle="1" w:styleId="CommentSubjectChar">
    <w:name w:val="Comment Subject Char"/>
    <w:basedOn w:val="CommentTextChar"/>
    <w:link w:val="CommentSubject"/>
    <w:uiPriority w:val="99"/>
    <w:semiHidden/>
    <w:rsid w:val="00945F53"/>
    <w:rPr>
      <w:rFonts w:ascii="Times New Roman" w:eastAsia="Times New Roman" w:hAnsi="Times New Roman" w:cs="Times New Roman"/>
      <w:b/>
      <w:bCs/>
      <w:sz w:val="20"/>
      <w:szCs w:val="20"/>
    </w:rPr>
  </w:style>
  <w:style w:type="table" w:styleId="TableGrid">
    <w:name w:val="Table Grid"/>
    <w:basedOn w:val="TableNormal"/>
    <w:uiPriority w:val="39"/>
    <w:rsid w:val="00977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A76"/>
    <w:rPr>
      <w:color w:val="0563C1" w:themeColor="hyperlink"/>
      <w:u w:val="single"/>
    </w:rPr>
  </w:style>
  <w:style w:type="table" w:customStyle="1" w:styleId="QTable">
    <w:name w:val="QTable"/>
    <w:uiPriority w:val="99"/>
    <w:qFormat/>
    <w:rsid w:val="00974A8F"/>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paragraph" w:styleId="Header">
    <w:name w:val="header"/>
    <w:basedOn w:val="Normal"/>
    <w:link w:val="HeaderChar"/>
    <w:uiPriority w:val="99"/>
    <w:unhideWhenUsed/>
    <w:rsid w:val="006B0D62"/>
    <w:pPr>
      <w:tabs>
        <w:tab w:val="center" w:pos="4680"/>
        <w:tab w:val="right" w:pos="9360"/>
      </w:tabs>
    </w:pPr>
  </w:style>
  <w:style w:type="character" w:customStyle="1" w:styleId="HeaderChar">
    <w:name w:val="Header Char"/>
    <w:basedOn w:val="DefaultParagraphFont"/>
    <w:link w:val="Header"/>
    <w:uiPriority w:val="99"/>
    <w:rsid w:val="006B0D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D62"/>
    <w:pPr>
      <w:tabs>
        <w:tab w:val="center" w:pos="4680"/>
        <w:tab w:val="right" w:pos="9360"/>
      </w:tabs>
    </w:pPr>
  </w:style>
  <w:style w:type="character" w:customStyle="1" w:styleId="FooterChar">
    <w:name w:val="Footer Char"/>
    <w:basedOn w:val="DefaultParagraphFont"/>
    <w:link w:val="Footer"/>
    <w:uiPriority w:val="99"/>
    <w:rsid w:val="006B0D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7082">
      <w:bodyDiv w:val="1"/>
      <w:marLeft w:val="0"/>
      <w:marRight w:val="0"/>
      <w:marTop w:val="0"/>
      <w:marBottom w:val="0"/>
      <w:divBdr>
        <w:top w:val="none" w:sz="0" w:space="0" w:color="auto"/>
        <w:left w:val="none" w:sz="0" w:space="0" w:color="auto"/>
        <w:bottom w:val="none" w:sz="0" w:space="0" w:color="auto"/>
        <w:right w:val="none" w:sz="0" w:space="0" w:color="auto"/>
      </w:divBdr>
    </w:div>
    <w:div w:id="18147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9B46-23C2-4683-BF2D-89D5781C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Lahn</dc:creator>
  <cp:keywords/>
  <dc:description/>
  <cp:lastModifiedBy>Deya Greer</cp:lastModifiedBy>
  <cp:revision>6</cp:revision>
  <dcterms:created xsi:type="dcterms:W3CDTF">2018-01-10T02:24:00Z</dcterms:created>
  <dcterms:modified xsi:type="dcterms:W3CDTF">2018-02-07T15:51:00Z</dcterms:modified>
</cp:coreProperties>
</file>