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5.xml" ContentType="application/vnd.openxmlformats-officedocument.themeOverride+xml"/>
  <Override PartName="/word/drawings/drawing7.xml" ContentType="application/vnd.openxmlformats-officedocument.drawingml.chartshapes+xml"/>
  <Override PartName="/word/charts/chart31.xml" ContentType="application/vnd.openxmlformats-officedocument.drawingml.chart+xml"/>
  <Override PartName="/word/theme/themeOverride6.xml" ContentType="application/vnd.openxmlformats-officedocument.themeOverride+xml"/>
  <Override PartName="/word/charts/chart32.xml" ContentType="application/vnd.openxmlformats-officedocument.drawingml.chart+xml"/>
  <Override PartName="/word/theme/themeOverride7.xml" ContentType="application/vnd.openxmlformats-officedocument.themeOverride+xml"/>
  <Override PartName="/word/charts/chart33.xml" ContentType="application/vnd.openxmlformats-officedocument.drawingml.chart+xml"/>
  <Override PartName="/word/theme/themeOverride8.xml" ContentType="application/vnd.openxmlformats-officedocument.themeOverride+xml"/>
  <Override PartName="/word/charts/chart34.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35.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11.xml" ContentType="application/vnd.openxmlformats-officedocument.themeOverride+xml"/>
  <Override PartName="/word/charts/chart41.xml" ContentType="application/vnd.openxmlformats-officedocument.drawingml.chart+xml"/>
  <Override PartName="/word/drawings/drawing9.xml" ContentType="application/vnd.openxmlformats-officedocument.drawingml.chartshapes+xml"/>
  <Override PartName="/word/charts/chart42.xml" ContentType="application/vnd.openxmlformats-officedocument.drawingml.chart+xml"/>
  <Override PartName="/word/theme/themeOverride12.xml" ContentType="application/vnd.openxmlformats-officedocument.themeOverride+xml"/>
  <Override PartName="/word/drawings/drawing10.xml" ContentType="application/vnd.openxmlformats-officedocument.drawingml.chartshapes+xml"/>
  <Override PartName="/word/charts/chart43.xml" ContentType="application/vnd.openxmlformats-officedocument.drawingml.chart+xml"/>
  <Override PartName="/word/theme/themeOverride13.xml" ContentType="application/vnd.openxmlformats-officedocument.themeOverride+xml"/>
  <Override PartName="/word/footer2.xml" ContentType="application/vnd.openxmlformats-officedocument.wordprocessingml.footer+xml"/>
  <Override PartName="/word/charts/chart44.xml" ContentType="application/vnd.openxmlformats-officedocument.drawingml.chart+xml"/>
  <Override PartName="/word/drawings/drawing11.xml" ContentType="application/vnd.openxmlformats-officedocument.drawingml.chartshapes+xml"/>
  <Override PartName="/word/charts/chart45.xml" ContentType="application/vnd.openxmlformats-officedocument.drawingml.chart+xml"/>
  <Override PartName="/word/charts/chart46.xml" ContentType="application/vnd.openxmlformats-officedocument.drawingml.chart+xml"/>
  <Override PartName="/word/theme/themeOverride14.xml" ContentType="application/vnd.openxmlformats-officedocument.themeOverride+xml"/>
  <Override PartName="/word/charts/chart47.xml" ContentType="application/vnd.openxmlformats-officedocument.drawingml.chart+xml"/>
  <Override PartName="/word/theme/themeOverride15.xml" ContentType="application/vnd.openxmlformats-officedocument.themeOverride+xml"/>
  <Override PartName="/word/charts/chart48.xml" ContentType="application/vnd.openxmlformats-officedocument.drawingml.chart+xml"/>
  <Override PartName="/word/theme/themeOverride16.xml" ContentType="application/vnd.openxmlformats-officedocument.themeOverride+xml"/>
  <Override PartName="/word/drawings/drawing12.xml" ContentType="application/vnd.openxmlformats-officedocument.drawingml.chartshapes+xml"/>
  <Override PartName="/word/charts/chart49.xml" ContentType="application/vnd.openxmlformats-officedocument.drawingml.chart+xml"/>
  <Override PartName="/word/theme/themeOverride17.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18.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218" w:rsidRDefault="003C7218" w:rsidP="003C7218">
      <w:pPr>
        <w:jc w:val="center"/>
      </w:pPr>
      <w:bookmarkStart w:id="0" w:name="_GoBack"/>
      <w:bookmarkEnd w:id="0"/>
      <w:r w:rsidRPr="009A33F4">
        <w:rPr>
          <w:noProof/>
        </w:rPr>
        <w:drawing>
          <wp:inline distT="0" distB="0" distL="0" distR="0" wp14:anchorId="19C9BA20" wp14:editId="6AF619DD">
            <wp:extent cx="4629150" cy="3057525"/>
            <wp:effectExtent l="0" t="0" r="0" b="0"/>
            <wp:docPr id="1" name="Picture 1" descr="F:\DATA51\SANDY T\SANDY\Horizon CHB\Horizon Public Health\Logo and letterhead\Horiz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51\SANDY T\SANDY\Horizon CHB\Horizon Public Health\Logo and letterhead\Horizon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3057525"/>
                    </a:xfrm>
                    <a:prstGeom prst="rect">
                      <a:avLst/>
                    </a:prstGeom>
                    <a:noFill/>
                    <a:ln>
                      <a:noFill/>
                    </a:ln>
                  </pic:spPr>
                </pic:pic>
              </a:graphicData>
            </a:graphic>
          </wp:inline>
        </w:drawing>
      </w:r>
    </w:p>
    <w:p w:rsidR="003C7218" w:rsidRDefault="003C7218" w:rsidP="003C7218">
      <w:pPr>
        <w:jc w:val="center"/>
      </w:pPr>
    </w:p>
    <w:p w:rsidR="003C7218" w:rsidRDefault="003C7218" w:rsidP="003C7218">
      <w:pPr>
        <w:jc w:val="center"/>
      </w:pPr>
    </w:p>
    <w:p w:rsidR="003C7218" w:rsidRDefault="003C7218" w:rsidP="003C7218">
      <w:pPr>
        <w:jc w:val="center"/>
      </w:pPr>
      <w:r w:rsidRPr="00B22F08">
        <w:rPr>
          <w:noProof/>
        </w:rPr>
        <w:drawing>
          <wp:inline distT="0" distB="0" distL="0" distR="0" wp14:anchorId="7E4B34FC" wp14:editId="263C9193">
            <wp:extent cx="1419225" cy="1237272"/>
            <wp:effectExtent l="0" t="0" r="0" b="1270"/>
            <wp:docPr id="39" name="Picture 39" descr="C:\Users\sandyt.HORIZONPH\Pictures\Logos\PHLogo2Color_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t.HORIZONPH\Pictures\Logos\PHLogo2Color_00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083" cy="1299046"/>
                    </a:xfrm>
                    <a:prstGeom prst="rect">
                      <a:avLst/>
                    </a:prstGeom>
                    <a:noFill/>
                    <a:ln>
                      <a:noFill/>
                    </a:ln>
                  </pic:spPr>
                </pic:pic>
              </a:graphicData>
            </a:graphic>
          </wp:inline>
        </w:drawing>
      </w:r>
    </w:p>
    <w:p w:rsidR="003C7218" w:rsidRDefault="003C7218" w:rsidP="003C7218">
      <w:pPr>
        <w:jc w:val="center"/>
      </w:pPr>
    </w:p>
    <w:p w:rsidR="003C7218" w:rsidRDefault="003C7218" w:rsidP="003C7218">
      <w:pPr>
        <w:jc w:val="center"/>
      </w:pPr>
    </w:p>
    <w:p w:rsidR="003C7218" w:rsidRDefault="003C7218" w:rsidP="003C7218">
      <w:pPr>
        <w:jc w:val="center"/>
      </w:pPr>
    </w:p>
    <w:p w:rsidR="003C7218" w:rsidRPr="00BA152E" w:rsidRDefault="003C7218" w:rsidP="003C7218">
      <w:pPr>
        <w:jc w:val="center"/>
        <w:rPr>
          <w:rFonts w:cs="Times New Roman"/>
          <w:b/>
          <w:sz w:val="48"/>
          <w:szCs w:val="48"/>
        </w:rPr>
      </w:pPr>
      <w:r>
        <w:rPr>
          <w:rFonts w:cs="Times New Roman"/>
          <w:b/>
          <w:sz w:val="48"/>
          <w:szCs w:val="48"/>
        </w:rPr>
        <w:t>COMMUNITY HEALTH ASSESSMENT</w:t>
      </w:r>
    </w:p>
    <w:p w:rsidR="00803FC4" w:rsidRDefault="00803FC4" w:rsidP="00803FC4">
      <w:pPr>
        <w:spacing w:after="200" w:line="276" w:lineRule="auto"/>
        <w:jc w:val="center"/>
        <w:rPr>
          <w:rFonts w:ascii="Calibri" w:eastAsia="Calibri" w:hAnsi="Calibri" w:cs="Times New Roman"/>
          <w:sz w:val="72"/>
          <w:szCs w:val="72"/>
        </w:rPr>
      </w:pPr>
    </w:p>
    <w:p w:rsidR="003C7218" w:rsidRPr="00803FC4" w:rsidRDefault="003C7218" w:rsidP="00803FC4">
      <w:pPr>
        <w:spacing w:after="200" w:line="276" w:lineRule="auto"/>
        <w:jc w:val="center"/>
        <w:rPr>
          <w:rFonts w:ascii="Calibri" w:eastAsia="Calibri" w:hAnsi="Calibri" w:cs="Times New Roman"/>
          <w:sz w:val="72"/>
          <w:szCs w:val="72"/>
        </w:rPr>
      </w:pPr>
    </w:p>
    <w:p w:rsidR="00EA4DAA" w:rsidRDefault="000941FF" w:rsidP="000941FF">
      <w:pPr>
        <w:tabs>
          <w:tab w:val="left" w:pos="2116"/>
        </w:tabs>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June 2017</w:t>
      </w:r>
    </w:p>
    <w:p w:rsidR="00803FC4" w:rsidRDefault="00DE094C" w:rsidP="00803FC4">
      <w:pPr>
        <w:tabs>
          <w:tab w:val="left" w:pos="2116"/>
        </w:tabs>
        <w:spacing w:after="200" w:line="276" w:lineRule="auto"/>
        <w:rPr>
          <w:rFonts w:ascii="Calibri" w:eastAsia="Calibri" w:hAnsi="Calibri" w:cs="Times New Roman"/>
          <w:b/>
          <w:sz w:val="24"/>
          <w:szCs w:val="24"/>
        </w:rPr>
      </w:pPr>
      <w:r>
        <w:rPr>
          <w:rFonts w:ascii="Calibri" w:eastAsia="Calibri" w:hAnsi="Calibri" w:cs="Times New Roman"/>
          <w:b/>
          <w:sz w:val="24"/>
          <w:szCs w:val="24"/>
        </w:rPr>
        <w:lastRenderedPageBreak/>
        <w:t>Vision</w:t>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t xml:space="preserve">            </w:t>
      </w:r>
      <w:r>
        <w:rPr>
          <w:rFonts w:ascii="Calibri" w:eastAsia="Calibri" w:hAnsi="Calibri" w:cs="Times New Roman"/>
          <w:sz w:val="24"/>
          <w:szCs w:val="24"/>
        </w:rPr>
        <w:t xml:space="preserve"> </w:t>
      </w:r>
      <w:r w:rsidRPr="00DE094C">
        <w:rPr>
          <w:rFonts w:ascii="Calibri" w:eastAsia="Calibri" w:hAnsi="Calibri" w:cs="Times New Roman"/>
          <w:sz w:val="24"/>
          <w:szCs w:val="24"/>
        </w:rPr>
        <w:t>4</w:t>
      </w:r>
      <w:r w:rsidR="00803FC4" w:rsidRPr="00803FC4">
        <w:rPr>
          <w:rFonts w:ascii="Calibri" w:eastAsia="Calibri" w:hAnsi="Calibri" w:cs="Times New Roman"/>
          <w:b/>
          <w:sz w:val="24"/>
          <w:szCs w:val="24"/>
        </w:rPr>
        <w:t xml:space="preserve"> </w:t>
      </w:r>
      <w:r w:rsidR="00803FC4" w:rsidRPr="00803FC4">
        <w:rPr>
          <w:rFonts w:ascii="Calibri" w:eastAsia="Calibri" w:hAnsi="Calibri" w:cs="Times New Roman"/>
          <w:b/>
          <w:sz w:val="24"/>
          <w:szCs w:val="24"/>
        </w:rPr>
        <w:tab/>
      </w:r>
    </w:p>
    <w:p w:rsidR="00EA15B8" w:rsidRDefault="004013C2" w:rsidP="00803FC4">
      <w:pPr>
        <w:tabs>
          <w:tab w:val="left" w:pos="2116"/>
        </w:tabs>
        <w:spacing w:after="200" w:line="276" w:lineRule="auto"/>
        <w:rPr>
          <w:rFonts w:ascii="Calibri" w:eastAsia="Calibri" w:hAnsi="Calibri" w:cs="Times New Roman"/>
          <w:b/>
          <w:sz w:val="24"/>
          <w:szCs w:val="24"/>
        </w:rPr>
      </w:pPr>
      <w:r>
        <w:rPr>
          <w:rFonts w:ascii="Calibri" w:eastAsia="Calibri" w:hAnsi="Calibri" w:cs="Times New Roman"/>
          <w:b/>
          <w:sz w:val="24"/>
          <w:szCs w:val="24"/>
        </w:rPr>
        <w:t>Community Health Assessment</w:t>
      </w:r>
      <w:r>
        <w:rPr>
          <w:rFonts w:ascii="Calibri" w:eastAsia="Calibri" w:hAnsi="Calibri" w:cs="Times New Roman"/>
          <w:b/>
          <w:sz w:val="24"/>
          <w:szCs w:val="24"/>
        </w:rPr>
        <w:tab/>
      </w:r>
      <w:r>
        <w:rPr>
          <w:rFonts w:ascii="Calibri" w:eastAsia="Calibri" w:hAnsi="Calibri" w:cs="Times New Roman"/>
          <w:b/>
          <w:sz w:val="24"/>
          <w:szCs w:val="24"/>
        </w:rPr>
        <w:tab/>
      </w:r>
      <w:r>
        <w:rPr>
          <w:rFonts w:ascii="Calibri" w:eastAsia="Calibri" w:hAnsi="Calibri" w:cs="Times New Roman"/>
          <w:b/>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sidRPr="00DE094C">
        <w:rPr>
          <w:rFonts w:ascii="Calibri" w:eastAsia="Calibri" w:hAnsi="Calibri" w:cs="Times New Roman"/>
          <w:sz w:val="24"/>
          <w:szCs w:val="24"/>
        </w:rPr>
        <w:t>6</w:t>
      </w:r>
    </w:p>
    <w:p w:rsidR="00EA15B8" w:rsidRDefault="00EA15B8" w:rsidP="00803FC4">
      <w:pPr>
        <w:tabs>
          <w:tab w:val="left" w:pos="2116"/>
        </w:tabs>
        <w:spacing w:after="200" w:line="276" w:lineRule="auto"/>
        <w:rPr>
          <w:rFonts w:ascii="Calibri" w:eastAsia="Calibri" w:hAnsi="Calibri" w:cs="Times New Roman"/>
          <w:sz w:val="24"/>
          <w:szCs w:val="24"/>
        </w:rPr>
      </w:pPr>
      <w:r>
        <w:rPr>
          <w:rFonts w:ascii="Calibri" w:eastAsia="Calibri" w:hAnsi="Calibri" w:cs="Times New Roman"/>
          <w:b/>
          <w:sz w:val="24"/>
          <w:szCs w:val="24"/>
        </w:rPr>
        <w:t xml:space="preserve">            </w:t>
      </w:r>
      <w:r>
        <w:rPr>
          <w:rFonts w:ascii="Calibri" w:eastAsia="Calibri" w:hAnsi="Calibri" w:cs="Times New Roman"/>
          <w:sz w:val="24"/>
          <w:szCs w:val="24"/>
        </w:rPr>
        <w:t>Process</w:t>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t>6</w:t>
      </w:r>
    </w:p>
    <w:p w:rsidR="00EA15B8" w:rsidRDefault="00EA15B8" w:rsidP="00803FC4">
      <w:pPr>
        <w:tabs>
          <w:tab w:val="left" w:pos="2116"/>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Model</w:t>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t>6</w:t>
      </w:r>
    </w:p>
    <w:p w:rsidR="00EA15B8" w:rsidRDefault="00EA15B8" w:rsidP="00803FC4">
      <w:pPr>
        <w:tabs>
          <w:tab w:val="left" w:pos="2116"/>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Data Collection</w:t>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F00FD8">
        <w:rPr>
          <w:rFonts w:ascii="Calibri" w:eastAsia="Calibri" w:hAnsi="Calibri" w:cs="Times New Roman"/>
          <w:sz w:val="24"/>
          <w:szCs w:val="24"/>
        </w:rPr>
        <w:t>7</w:t>
      </w:r>
    </w:p>
    <w:p w:rsidR="00EA15B8" w:rsidRPr="00EA15B8" w:rsidRDefault="00EA15B8" w:rsidP="00803FC4">
      <w:pPr>
        <w:tabs>
          <w:tab w:val="left" w:pos="2116"/>
        </w:tabs>
        <w:spacing w:after="200" w:line="276" w:lineRule="auto"/>
        <w:rPr>
          <w:rFonts w:ascii="Calibri" w:eastAsia="Calibri" w:hAnsi="Calibri" w:cs="Times New Roman"/>
          <w:sz w:val="24"/>
          <w:szCs w:val="24"/>
        </w:rPr>
      </w:pPr>
      <w:r>
        <w:rPr>
          <w:rFonts w:ascii="Calibri" w:eastAsia="Calibri" w:hAnsi="Calibri" w:cs="Times New Roman"/>
          <w:sz w:val="24"/>
          <w:szCs w:val="24"/>
        </w:rPr>
        <w:t xml:space="preserve">           </w:t>
      </w:r>
      <w:r w:rsidR="00CC50A2">
        <w:rPr>
          <w:rFonts w:ascii="Calibri" w:eastAsia="Calibri" w:hAnsi="Calibri" w:cs="Times New Roman"/>
          <w:sz w:val="24"/>
          <w:szCs w:val="24"/>
        </w:rPr>
        <w:t>Public Input and</w:t>
      </w:r>
      <w:r>
        <w:rPr>
          <w:rFonts w:ascii="Calibri" w:eastAsia="Calibri" w:hAnsi="Calibri" w:cs="Times New Roman"/>
          <w:sz w:val="24"/>
          <w:szCs w:val="24"/>
        </w:rPr>
        <w:t xml:space="preserve"> Distribution</w:t>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4013C2">
        <w:rPr>
          <w:rFonts w:ascii="Calibri" w:eastAsia="Calibri" w:hAnsi="Calibri" w:cs="Times New Roman"/>
          <w:sz w:val="24"/>
          <w:szCs w:val="24"/>
        </w:rPr>
        <w:tab/>
      </w:r>
      <w:r w:rsidR="00F00FD8">
        <w:rPr>
          <w:rFonts w:ascii="Calibri" w:eastAsia="Calibri" w:hAnsi="Calibri" w:cs="Times New Roman"/>
          <w:sz w:val="24"/>
          <w:szCs w:val="24"/>
        </w:rPr>
        <w:t>7</w:t>
      </w:r>
    </w:p>
    <w:p w:rsidR="00803FC4" w:rsidRPr="004013C2" w:rsidRDefault="00803FC4" w:rsidP="004013C2">
      <w:pPr>
        <w:tabs>
          <w:tab w:val="left" w:pos="2116"/>
        </w:tabs>
        <w:spacing w:after="200" w:line="276" w:lineRule="auto"/>
        <w:rPr>
          <w:rFonts w:ascii="Calibri" w:eastAsia="Calibri" w:hAnsi="Calibri" w:cs="Times New Roman"/>
          <w:b/>
          <w:sz w:val="24"/>
          <w:szCs w:val="24"/>
        </w:rPr>
      </w:pPr>
      <w:r w:rsidRPr="00803FC4">
        <w:rPr>
          <w:rFonts w:ascii="Calibri" w:eastAsia="Calibri" w:hAnsi="Calibri" w:cs="Times New Roman"/>
          <w:b/>
          <w:sz w:val="24"/>
          <w:szCs w:val="24"/>
        </w:rPr>
        <w:t>Introduction</w:t>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r>
      <w:r w:rsidR="00DE094C" w:rsidRPr="00DE094C">
        <w:rPr>
          <w:rFonts w:ascii="Calibri" w:eastAsia="Calibri" w:hAnsi="Calibri" w:cs="Times New Roman"/>
          <w:sz w:val="24"/>
          <w:szCs w:val="24"/>
        </w:rPr>
        <w:tab/>
        <w:t>8</w:t>
      </w:r>
    </w:p>
    <w:p w:rsidR="00803FC4" w:rsidRPr="00DE094C" w:rsidRDefault="00DE094C" w:rsidP="00803FC4">
      <w:pPr>
        <w:spacing w:after="200" w:line="276" w:lineRule="auto"/>
        <w:rPr>
          <w:rFonts w:ascii="Calibri" w:eastAsia="Calibri" w:hAnsi="Calibri" w:cs="Times New Roman"/>
          <w:sz w:val="24"/>
          <w:szCs w:val="24"/>
        </w:rPr>
      </w:pPr>
      <w:r>
        <w:rPr>
          <w:rFonts w:ascii="Calibri" w:eastAsia="Calibri" w:hAnsi="Calibri" w:cs="Times New Roman"/>
          <w:b/>
          <w:sz w:val="24"/>
          <w:szCs w:val="24"/>
        </w:rPr>
        <w:t>People and Place</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t>9</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 xml:space="preserve">Population </w:t>
      </w:r>
      <w:r w:rsidR="00DE094C">
        <w:rPr>
          <w:rFonts w:ascii="Calibri" w:eastAsia="Calibri" w:hAnsi="Calibri" w:cs="Times New Roman"/>
          <w:sz w:val="24"/>
          <w:szCs w:val="24"/>
        </w:rPr>
        <w:t>Trends</w:t>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r>
      <w:r w:rsidR="00DE094C">
        <w:rPr>
          <w:rFonts w:ascii="Calibri" w:eastAsia="Calibri" w:hAnsi="Calibri" w:cs="Times New Roman"/>
          <w:sz w:val="24"/>
          <w:szCs w:val="24"/>
        </w:rPr>
        <w:tab/>
        <w:t>9</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Im</w:t>
      </w:r>
      <w:r w:rsidR="00DE094C">
        <w:rPr>
          <w:rFonts w:ascii="Calibri" w:eastAsia="Calibri" w:hAnsi="Calibri" w:cs="Times New Roman"/>
          <w:sz w:val="24"/>
          <w:szCs w:val="24"/>
        </w:rPr>
        <w:t>migratio</w:t>
      </w:r>
      <w:r w:rsidR="00F00FD8">
        <w:rPr>
          <w:rFonts w:ascii="Calibri" w:eastAsia="Calibri" w:hAnsi="Calibri" w:cs="Times New Roman"/>
          <w:sz w:val="24"/>
          <w:szCs w:val="24"/>
        </w:rPr>
        <w:t>n and Growing Diversity</w:t>
      </w:r>
      <w:r w:rsidR="00F00FD8">
        <w:rPr>
          <w:rFonts w:ascii="Calibri" w:eastAsia="Calibri" w:hAnsi="Calibri" w:cs="Times New Roman"/>
          <w:sz w:val="24"/>
          <w:szCs w:val="24"/>
        </w:rPr>
        <w:tab/>
      </w:r>
      <w:r w:rsidR="00F00FD8">
        <w:rPr>
          <w:rFonts w:ascii="Calibri" w:eastAsia="Calibri" w:hAnsi="Calibri" w:cs="Times New Roman"/>
          <w:sz w:val="24"/>
          <w:szCs w:val="24"/>
        </w:rPr>
        <w:tab/>
      </w:r>
      <w:r w:rsidR="00F00FD8">
        <w:rPr>
          <w:rFonts w:ascii="Calibri" w:eastAsia="Calibri" w:hAnsi="Calibri" w:cs="Times New Roman"/>
          <w:sz w:val="24"/>
          <w:szCs w:val="24"/>
        </w:rPr>
        <w:tab/>
      </w:r>
      <w:r w:rsidR="00F00FD8">
        <w:rPr>
          <w:rFonts w:ascii="Calibri" w:eastAsia="Calibri" w:hAnsi="Calibri" w:cs="Times New Roman"/>
          <w:sz w:val="24"/>
          <w:szCs w:val="24"/>
        </w:rPr>
        <w:tab/>
      </w:r>
      <w:r w:rsidR="00F00FD8">
        <w:rPr>
          <w:rFonts w:ascii="Calibri" w:eastAsia="Calibri" w:hAnsi="Calibri" w:cs="Times New Roman"/>
          <w:sz w:val="24"/>
          <w:szCs w:val="24"/>
        </w:rPr>
        <w:tab/>
      </w:r>
      <w:r w:rsidR="00F00FD8">
        <w:rPr>
          <w:rFonts w:ascii="Calibri" w:eastAsia="Calibri" w:hAnsi="Calibri" w:cs="Times New Roman"/>
          <w:sz w:val="24"/>
          <w:szCs w:val="24"/>
        </w:rPr>
        <w:tab/>
      </w:r>
      <w:r w:rsidR="00F00FD8">
        <w:rPr>
          <w:rFonts w:ascii="Calibri" w:eastAsia="Calibri" w:hAnsi="Calibri" w:cs="Times New Roman"/>
          <w:sz w:val="24"/>
          <w:szCs w:val="24"/>
        </w:rPr>
        <w:tab/>
        <w:t>14</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Aging and Retirement</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15</w:t>
      </w:r>
    </w:p>
    <w:p w:rsidR="00803FC4" w:rsidRPr="00DE094C" w:rsidRDefault="00DE094C" w:rsidP="00803FC4">
      <w:pPr>
        <w:spacing w:after="200" w:line="276" w:lineRule="auto"/>
        <w:rPr>
          <w:rFonts w:ascii="Calibri" w:eastAsia="Calibri" w:hAnsi="Calibri" w:cs="Times New Roman"/>
          <w:sz w:val="24"/>
          <w:szCs w:val="24"/>
        </w:rPr>
      </w:pPr>
      <w:r>
        <w:rPr>
          <w:rFonts w:ascii="Calibri" w:eastAsia="Calibri" w:hAnsi="Calibri" w:cs="Times New Roman"/>
          <w:b/>
          <w:sz w:val="24"/>
          <w:szCs w:val="24"/>
        </w:rPr>
        <w:t>Opportunity for Health</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19</w:t>
      </w:r>
    </w:p>
    <w:p w:rsidR="00803FC4" w:rsidRPr="00803FC4" w:rsidRDefault="00DE094C" w:rsidP="00803FC4">
      <w:pPr>
        <w:spacing w:after="200" w:line="276" w:lineRule="auto"/>
        <w:rPr>
          <w:rFonts w:ascii="Calibri" w:eastAsia="Calibri" w:hAnsi="Calibri" w:cs="Times New Roman"/>
          <w:sz w:val="24"/>
          <w:szCs w:val="24"/>
        </w:rPr>
      </w:pPr>
      <w:r>
        <w:rPr>
          <w:rFonts w:ascii="Calibri" w:eastAsia="Calibri" w:hAnsi="Calibri" w:cs="Times New Roman"/>
          <w:sz w:val="24"/>
          <w:szCs w:val="24"/>
        </w:rPr>
        <w:tab/>
        <w:t>Ed</w:t>
      </w:r>
      <w:r w:rsidR="00765736">
        <w:rPr>
          <w:rFonts w:ascii="Calibri" w:eastAsia="Calibri" w:hAnsi="Calibri" w:cs="Times New Roman"/>
          <w:sz w:val="24"/>
          <w:szCs w:val="24"/>
        </w:rPr>
        <w:t>ucation and Employment</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19</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I</w:t>
      </w:r>
      <w:r w:rsidR="00F00FD8">
        <w:rPr>
          <w:rFonts w:ascii="Calibri" w:eastAsia="Calibri" w:hAnsi="Calibri" w:cs="Times New Roman"/>
          <w:sz w:val="24"/>
          <w:szCs w:val="24"/>
        </w:rPr>
        <w:t>ncome and P</w:t>
      </w:r>
      <w:r w:rsidR="00765736">
        <w:rPr>
          <w:rFonts w:ascii="Calibri" w:eastAsia="Calibri" w:hAnsi="Calibri" w:cs="Times New Roman"/>
          <w:sz w:val="24"/>
          <w:szCs w:val="24"/>
        </w:rPr>
        <w:t>overty</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21</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Housing an</w:t>
      </w:r>
      <w:r w:rsidR="00CC50A2">
        <w:rPr>
          <w:rFonts w:ascii="Calibri" w:eastAsia="Calibri" w:hAnsi="Calibri" w:cs="Times New Roman"/>
          <w:sz w:val="24"/>
          <w:szCs w:val="24"/>
        </w:rPr>
        <w:t>d Home Ownership</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22</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Social Connectedness</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23</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Community and Personal Safety</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24</w:t>
      </w:r>
    </w:p>
    <w:p w:rsidR="00803FC4" w:rsidRPr="00803FC4" w:rsidRDefault="00DE094C" w:rsidP="00803FC4">
      <w:pPr>
        <w:spacing w:after="200" w:line="276" w:lineRule="auto"/>
        <w:rPr>
          <w:rFonts w:ascii="Calibri" w:eastAsia="Calibri" w:hAnsi="Calibri" w:cs="Times New Roman"/>
          <w:sz w:val="24"/>
          <w:szCs w:val="24"/>
        </w:rPr>
      </w:pPr>
      <w:r>
        <w:rPr>
          <w:rFonts w:ascii="Calibri" w:eastAsia="Calibri" w:hAnsi="Calibri" w:cs="Times New Roman"/>
          <w:sz w:val="24"/>
          <w:szCs w:val="24"/>
        </w:rPr>
        <w:tab/>
      </w:r>
      <w:r w:rsidR="00765736">
        <w:rPr>
          <w:rFonts w:ascii="Calibri" w:eastAsia="Calibri" w:hAnsi="Calibri" w:cs="Times New Roman"/>
          <w:sz w:val="24"/>
          <w:szCs w:val="24"/>
        </w:rPr>
        <w:t>Access to Health Care</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24</w:t>
      </w:r>
    </w:p>
    <w:p w:rsidR="00803FC4" w:rsidRPr="00803FC4" w:rsidRDefault="00DE094C" w:rsidP="00803FC4">
      <w:pPr>
        <w:spacing w:after="200" w:line="276" w:lineRule="auto"/>
        <w:rPr>
          <w:rFonts w:ascii="Calibri" w:eastAsia="Calibri" w:hAnsi="Calibri" w:cs="Times New Roman"/>
          <w:sz w:val="24"/>
          <w:szCs w:val="24"/>
        </w:rPr>
      </w:pPr>
      <w:r>
        <w:rPr>
          <w:rFonts w:ascii="Calibri" w:eastAsia="Calibri" w:hAnsi="Calibri" w:cs="Times New Roman"/>
          <w:sz w:val="24"/>
          <w:szCs w:val="24"/>
        </w:rPr>
        <w:tab/>
        <w:t>Public</w:t>
      </w:r>
      <w:r w:rsidR="00765736">
        <w:rPr>
          <w:rFonts w:ascii="Calibri" w:eastAsia="Calibri" w:hAnsi="Calibri" w:cs="Times New Roman"/>
          <w:sz w:val="24"/>
          <w:szCs w:val="24"/>
        </w:rPr>
        <w:t xml:space="preserve"> Health Infrastructure</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26</w:t>
      </w:r>
    </w:p>
    <w:p w:rsidR="00803FC4" w:rsidRPr="00803FC4" w:rsidRDefault="00803FC4" w:rsidP="00803FC4">
      <w:pPr>
        <w:spacing w:after="200" w:line="276" w:lineRule="auto"/>
        <w:rPr>
          <w:rFonts w:ascii="Calibri" w:eastAsia="Calibri" w:hAnsi="Calibri" w:cs="Times New Roman"/>
          <w:b/>
          <w:sz w:val="24"/>
          <w:szCs w:val="24"/>
        </w:rPr>
      </w:pPr>
      <w:r w:rsidRPr="00803FC4">
        <w:rPr>
          <w:rFonts w:ascii="Calibri" w:eastAsia="Calibri" w:hAnsi="Calibri" w:cs="Times New Roman"/>
          <w:b/>
          <w:sz w:val="24"/>
          <w:szCs w:val="24"/>
        </w:rPr>
        <w:t>Healthy Living</w:t>
      </w:r>
      <w:r w:rsidR="00DE094C">
        <w:rPr>
          <w:rFonts w:ascii="Calibri" w:eastAsia="Calibri" w:hAnsi="Calibri" w:cs="Times New Roman"/>
          <w:b/>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27</w:t>
      </w:r>
    </w:p>
    <w:p w:rsid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A Healthy Start for Children</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27</w:t>
      </w:r>
    </w:p>
    <w:p w:rsidR="00F00FD8" w:rsidRPr="00803FC4" w:rsidRDefault="00765736" w:rsidP="00803FC4">
      <w:pPr>
        <w:spacing w:after="200" w:line="276" w:lineRule="auto"/>
        <w:rPr>
          <w:rFonts w:ascii="Calibri" w:eastAsia="Calibri" w:hAnsi="Calibri" w:cs="Times New Roman"/>
          <w:sz w:val="24"/>
          <w:szCs w:val="24"/>
        </w:rPr>
      </w:pPr>
      <w:r>
        <w:rPr>
          <w:rFonts w:ascii="Calibri" w:eastAsia="Calibri" w:hAnsi="Calibri" w:cs="Times New Roman"/>
          <w:sz w:val="24"/>
          <w:szCs w:val="24"/>
        </w:rPr>
        <w:tab/>
        <w:t>Community Involvement</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t>31</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Physical Activity and Eating Habits</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32</w:t>
      </w:r>
    </w:p>
    <w:p w:rsidR="00803FC4" w:rsidRP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ab/>
        <w:t>Use of Alcohol, Tobacco, and Prescription Drugs</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37</w:t>
      </w:r>
    </w:p>
    <w:p w:rsidR="00803FC4" w:rsidRDefault="00803FC4" w:rsidP="00803FC4">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lastRenderedPageBreak/>
        <w:tab/>
        <w:t>Promoting Mental Health</w:t>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r>
      <w:r w:rsidR="00765736">
        <w:rPr>
          <w:rFonts w:ascii="Calibri" w:eastAsia="Calibri" w:hAnsi="Calibri" w:cs="Times New Roman"/>
          <w:sz w:val="24"/>
          <w:szCs w:val="24"/>
        </w:rPr>
        <w:tab/>
        <w:t>40</w:t>
      </w:r>
    </w:p>
    <w:p w:rsidR="00640226" w:rsidRPr="00803FC4" w:rsidRDefault="00640226" w:rsidP="00803FC4">
      <w:pPr>
        <w:spacing w:after="200" w:line="276" w:lineRule="auto"/>
        <w:rPr>
          <w:rFonts w:ascii="Calibri" w:eastAsia="Calibri" w:hAnsi="Calibri" w:cs="Times New Roman"/>
          <w:sz w:val="24"/>
          <w:szCs w:val="24"/>
        </w:rPr>
      </w:pPr>
      <w:r>
        <w:rPr>
          <w:rFonts w:ascii="Calibri" w:eastAsia="Calibri" w:hAnsi="Calibri" w:cs="Times New Roman"/>
          <w:sz w:val="24"/>
          <w:szCs w:val="24"/>
        </w:rPr>
        <w:tab/>
      </w:r>
      <w:r w:rsidR="003825CE">
        <w:rPr>
          <w:rFonts w:ascii="Calibri" w:eastAsia="Calibri" w:hAnsi="Calibri" w:cs="Times New Roman"/>
          <w:sz w:val="24"/>
          <w:szCs w:val="24"/>
        </w:rPr>
        <w:t xml:space="preserve">Preventing </w:t>
      </w:r>
      <w:r>
        <w:rPr>
          <w:rFonts w:ascii="Calibri" w:eastAsia="Calibri" w:hAnsi="Calibri" w:cs="Times New Roman"/>
          <w:sz w:val="24"/>
          <w:szCs w:val="24"/>
        </w:rPr>
        <w:t>Disease and Injury</w:t>
      </w:r>
      <w:r w:rsidR="003825CE">
        <w:rPr>
          <w:rFonts w:ascii="Calibri" w:eastAsia="Calibri" w:hAnsi="Calibri" w:cs="Times New Roman"/>
          <w:sz w:val="24"/>
          <w:szCs w:val="24"/>
        </w:rPr>
        <w:tab/>
      </w:r>
      <w:r w:rsidR="003825CE">
        <w:rPr>
          <w:rFonts w:ascii="Calibri" w:eastAsia="Calibri" w:hAnsi="Calibri" w:cs="Times New Roman"/>
          <w:sz w:val="24"/>
          <w:szCs w:val="24"/>
        </w:rPr>
        <w:tab/>
      </w:r>
      <w:r w:rsidR="003825CE">
        <w:rPr>
          <w:rFonts w:ascii="Calibri" w:eastAsia="Calibri" w:hAnsi="Calibri" w:cs="Times New Roman"/>
          <w:sz w:val="24"/>
          <w:szCs w:val="24"/>
        </w:rPr>
        <w:tab/>
      </w:r>
      <w:r w:rsidR="003825CE">
        <w:rPr>
          <w:rFonts w:ascii="Calibri" w:eastAsia="Calibri" w:hAnsi="Calibri" w:cs="Times New Roman"/>
          <w:sz w:val="24"/>
          <w:szCs w:val="24"/>
        </w:rPr>
        <w:tab/>
      </w:r>
      <w:r w:rsidR="003825CE">
        <w:rPr>
          <w:rFonts w:ascii="Calibri" w:eastAsia="Calibri" w:hAnsi="Calibri" w:cs="Times New Roman"/>
          <w:sz w:val="24"/>
          <w:szCs w:val="24"/>
        </w:rPr>
        <w:tab/>
      </w:r>
      <w:r w:rsidR="003825CE">
        <w:rPr>
          <w:rFonts w:ascii="Calibri" w:eastAsia="Calibri" w:hAnsi="Calibri" w:cs="Times New Roman"/>
          <w:sz w:val="24"/>
          <w:szCs w:val="24"/>
        </w:rPr>
        <w:tab/>
      </w:r>
      <w:r w:rsidR="003825CE">
        <w:rPr>
          <w:rFonts w:ascii="Calibri" w:eastAsia="Calibri" w:hAnsi="Calibri" w:cs="Times New Roman"/>
          <w:sz w:val="24"/>
          <w:szCs w:val="24"/>
        </w:rPr>
        <w:tab/>
      </w:r>
      <w:r w:rsidR="00765736">
        <w:rPr>
          <w:rFonts w:ascii="Calibri" w:eastAsia="Calibri" w:hAnsi="Calibri" w:cs="Times New Roman"/>
          <w:sz w:val="24"/>
          <w:szCs w:val="24"/>
        </w:rPr>
        <w:t>42</w:t>
      </w:r>
    </w:p>
    <w:p w:rsidR="00803FC4" w:rsidRPr="00803FC4" w:rsidRDefault="00803FC4" w:rsidP="00872F7E">
      <w:pPr>
        <w:spacing w:after="200" w:line="276" w:lineRule="auto"/>
        <w:rPr>
          <w:rFonts w:ascii="Calibri" w:eastAsia="Calibri" w:hAnsi="Calibri" w:cs="Times New Roman"/>
          <w:b/>
          <w:sz w:val="24"/>
          <w:szCs w:val="24"/>
        </w:rPr>
      </w:pPr>
      <w:r w:rsidRPr="00803FC4">
        <w:rPr>
          <w:rFonts w:ascii="Calibri" w:eastAsia="Calibri" w:hAnsi="Calibri" w:cs="Times New Roman"/>
          <w:b/>
          <w:sz w:val="24"/>
          <w:szCs w:val="24"/>
        </w:rPr>
        <w:t>Conclusion</w:t>
      </w:r>
      <w:r w:rsidR="0086227D" w:rsidRPr="0086227D">
        <w:rPr>
          <w:rFonts w:ascii="Calibri" w:eastAsia="Calibri" w:hAnsi="Calibri" w:cs="Times New Roman"/>
          <w:sz w:val="24"/>
          <w:szCs w:val="24"/>
        </w:rPr>
        <w:tab/>
      </w:r>
      <w:r w:rsidR="0086227D" w:rsidRPr="0086227D">
        <w:rPr>
          <w:rFonts w:ascii="Calibri" w:eastAsia="Calibri" w:hAnsi="Calibri" w:cs="Times New Roman"/>
          <w:sz w:val="24"/>
          <w:szCs w:val="24"/>
        </w:rPr>
        <w:tab/>
      </w:r>
      <w:r w:rsidR="0086227D" w:rsidRPr="0086227D">
        <w:rPr>
          <w:rFonts w:ascii="Calibri" w:eastAsia="Calibri" w:hAnsi="Calibri" w:cs="Times New Roman"/>
          <w:sz w:val="24"/>
          <w:szCs w:val="24"/>
        </w:rPr>
        <w:tab/>
      </w:r>
      <w:r w:rsidR="0086227D" w:rsidRPr="0086227D">
        <w:rPr>
          <w:rFonts w:ascii="Calibri" w:eastAsia="Calibri" w:hAnsi="Calibri" w:cs="Times New Roman"/>
          <w:sz w:val="24"/>
          <w:szCs w:val="24"/>
        </w:rPr>
        <w:tab/>
      </w:r>
      <w:r w:rsidR="0086227D" w:rsidRPr="0086227D">
        <w:rPr>
          <w:rFonts w:ascii="Calibri" w:eastAsia="Calibri" w:hAnsi="Calibri" w:cs="Times New Roman"/>
          <w:sz w:val="24"/>
          <w:szCs w:val="24"/>
        </w:rPr>
        <w:tab/>
      </w:r>
      <w:r w:rsidR="0086227D" w:rsidRPr="0086227D">
        <w:rPr>
          <w:rFonts w:ascii="Calibri" w:eastAsia="Calibri" w:hAnsi="Calibri" w:cs="Times New Roman"/>
          <w:sz w:val="24"/>
          <w:szCs w:val="24"/>
        </w:rPr>
        <w:tab/>
      </w:r>
      <w:r w:rsidR="00872F7E">
        <w:rPr>
          <w:rFonts w:ascii="Calibri" w:eastAsia="Calibri" w:hAnsi="Calibri" w:cs="Times New Roman"/>
          <w:sz w:val="24"/>
          <w:szCs w:val="24"/>
        </w:rPr>
        <w:tab/>
      </w:r>
      <w:r w:rsidR="00872F7E">
        <w:rPr>
          <w:rFonts w:ascii="Calibri" w:eastAsia="Calibri" w:hAnsi="Calibri" w:cs="Times New Roman"/>
          <w:sz w:val="24"/>
          <w:szCs w:val="24"/>
        </w:rPr>
        <w:tab/>
      </w:r>
      <w:r w:rsidR="00872F7E">
        <w:rPr>
          <w:rFonts w:ascii="Calibri" w:eastAsia="Calibri" w:hAnsi="Calibri" w:cs="Times New Roman"/>
          <w:sz w:val="24"/>
          <w:szCs w:val="24"/>
        </w:rPr>
        <w:tab/>
      </w:r>
      <w:r w:rsidR="00872F7E">
        <w:rPr>
          <w:rFonts w:ascii="Calibri" w:eastAsia="Calibri" w:hAnsi="Calibri" w:cs="Times New Roman"/>
          <w:sz w:val="24"/>
          <w:szCs w:val="24"/>
        </w:rPr>
        <w:tab/>
      </w:r>
      <w:r w:rsidR="00872F7E">
        <w:rPr>
          <w:rFonts w:ascii="Calibri" w:eastAsia="Calibri" w:hAnsi="Calibri" w:cs="Times New Roman"/>
          <w:sz w:val="24"/>
          <w:szCs w:val="24"/>
        </w:rPr>
        <w:tab/>
      </w:r>
      <w:r w:rsidR="00765736">
        <w:rPr>
          <w:rFonts w:ascii="Calibri" w:eastAsia="Calibri" w:hAnsi="Calibri" w:cs="Times New Roman"/>
          <w:sz w:val="24"/>
          <w:szCs w:val="24"/>
        </w:rPr>
        <w:t>58</w:t>
      </w: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Pr="00803FC4" w:rsidRDefault="00803FC4" w:rsidP="00803FC4">
      <w:pPr>
        <w:spacing w:after="200" w:line="276" w:lineRule="auto"/>
        <w:rPr>
          <w:rFonts w:ascii="Calibri" w:eastAsia="Calibri" w:hAnsi="Calibri" w:cs="Times New Roman"/>
          <w:b/>
          <w:sz w:val="24"/>
          <w:szCs w:val="24"/>
        </w:rPr>
      </w:pPr>
    </w:p>
    <w:p w:rsidR="00803FC4" w:rsidRDefault="00803FC4" w:rsidP="00803FC4">
      <w:pPr>
        <w:spacing w:after="200" w:line="276" w:lineRule="auto"/>
        <w:rPr>
          <w:rFonts w:ascii="Calibri" w:eastAsia="Calibri" w:hAnsi="Calibri" w:cs="Times New Roman"/>
          <w:b/>
          <w:sz w:val="24"/>
          <w:szCs w:val="24"/>
        </w:rPr>
      </w:pPr>
    </w:p>
    <w:p w:rsidR="008F4B01" w:rsidRDefault="008F4B01" w:rsidP="00803FC4">
      <w:pPr>
        <w:spacing w:after="200" w:line="276" w:lineRule="auto"/>
        <w:rPr>
          <w:rFonts w:ascii="Calibri" w:eastAsia="Calibri" w:hAnsi="Calibri" w:cs="Times New Roman"/>
          <w:b/>
          <w:sz w:val="24"/>
          <w:szCs w:val="24"/>
        </w:rPr>
      </w:pPr>
    </w:p>
    <w:p w:rsidR="008F4B01" w:rsidRDefault="008F4B01" w:rsidP="00803FC4">
      <w:pPr>
        <w:spacing w:after="200" w:line="276" w:lineRule="auto"/>
        <w:rPr>
          <w:rFonts w:ascii="Calibri" w:eastAsia="Calibri" w:hAnsi="Calibri" w:cs="Times New Roman"/>
          <w:b/>
          <w:sz w:val="24"/>
          <w:szCs w:val="24"/>
        </w:rPr>
      </w:pPr>
    </w:p>
    <w:p w:rsidR="00803FC4" w:rsidRDefault="00803FC4" w:rsidP="00803FC4">
      <w:pPr>
        <w:spacing w:after="200" w:line="276" w:lineRule="auto"/>
        <w:rPr>
          <w:rFonts w:ascii="Calibri" w:eastAsia="Calibri" w:hAnsi="Calibri" w:cs="Times New Roman"/>
          <w:b/>
          <w:sz w:val="24"/>
          <w:szCs w:val="24"/>
        </w:rPr>
      </w:pPr>
    </w:p>
    <w:p w:rsidR="004013C2" w:rsidRDefault="004013C2" w:rsidP="00803FC4">
      <w:pPr>
        <w:spacing w:after="200" w:line="276" w:lineRule="auto"/>
        <w:rPr>
          <w:rFonts w:ascii="Calibri" w:eastAsia="Calibri" w:hAnsi="Calibri" w:cs="Times New Roman"/>
          <w:b/>
          <w:sz w:val="24"/>
          <w:szCs w:val="24"/>
        </w:rPr>
      </w:pPr>
    </w:p>
    <w:p w:rsidR="004013C2" w:rsidRDefault="004013C2" w:rsidP="00803FC4">
      <w:pPr>
        <w:spacing w:after="200" w:line="276" w:lineRule="auto"/>
        <w:rPr>
          <w:rFonts w:ascii="Calibri" w:eastAsia="Calibri" w:hAnsi="Calibri" w:cs="Times New Roman"/>
          <w:b/>
          <w:sz w:val="24"/>
          <w:szCs w:val="24"/>
        </w:rPr>
      </w:pPr>
    </w:p>
    <w:p w:rsidR="004013C2" w:rsidRDefault="004013C2" w:rsidP="00803FC4">
      <w:pPr>
        <w:spacing w:after="200" w:line="276" w:lineRule="auto"/>
        <w:rPr>
          <w:rFonts w:ascii="Calibri" w:eastAsia="Calibri" w:hAnsi="Calibri" w:cs="Times New Roman"/>
          <w:b/>
          <w:sz w:val="24"/>
          <w:szCs w:val="24"/>
        </w:rPr>
      </w:pPr>
    </w:p>
    <w:p w:rsidR="004013C2" w:rsidRDefault="004013C2" w:rsidP="00803FC4">
      <w:pPr>
        <w:spacing w:after="200" w:line="276" w:lineRule="auto"/>
        <w:rPr>
          <w:rFonts w:ascii="Calibri" w:eastAsia="Calibri" w:hAnsi="Calibri" w:cs="Times New Roman"/>
          <w:b/>
          <w:sz w:val="24"/>
          <w:szCs w:val="24"/>
        </w:rPr>
      </w:pPr>
    </w:p>
    <w:p w:rsidR="004013C2" w:rsidRDefault="004013C2" w:rsidP="00803FC4">
      <w:pPr>
        <w:spacing w:after="200" w:line="276" w:lineRule="auto"/>
        <w:rPr>
          <w:rFonts w:ascii="Calibri" w:eastAsia="Calibri" w:hAnsi="Calibri" w:cs="Times New Roman"/>
          <w:b/>
          <w:sz w:val="24"/>
          <w:szCs w:val="24"/>
        </w:rPr>
      </w:pPr>
    </w:p>
    <w:p w:rsidR="007A1DE1" w:rsidRPr="00803FC4" w:rsidRDefault="007A1DE1" w:rsidP="00803FC4">
      <w:pPr>
        <w:spacing w:after="200" w:line="276" w:lineRule="auto"/>
        <w:rPr>
          <w:rFonts w:ascii="Calibri" w:eastAsia="Calibri" w:hAnsi="Calibri" w:cs="Times New Roman"/>
          <w:b/>
          <w:sz w:val="24"/>
          <w:szCs w:val="24"/>
        </w:rPr>
      </w:pPr>
    </w:p>
    <w:p w:rsidR="00502274" w:rsidRDefault="00502274" w:rsidP="00C72FDA">
      <w:pPr>
        <w:spacing w:after="200" w:line="276" w:lineRule="auto"/>
        <w:jc w:val="center"/>
        <w:rPr>
          <w:rFonts w:ascii="Cambria" w:eastAsia="Calibri" w:hAnsi="Cambria" w:cs="Times New Roman"/>
          <w:b/>
          <w:sz w:val="36"/>
          <w:szCs w:val="36"/>
        </w:rPr>
      </w:pPr>
    </w:p>
    <w:p w:rsidR="00502274" w:rsidRDefault="00502274" w:rsidP="00C72FDA">
      <w:pPr>
        <w:spacing w:after="200" w:line="276" w:lineRule="auto"/>
        <w:jc w:val="center"/>
        <w:rPr>
          <w:rFonts w:ascii="Cambria" w:eastAsia="Calibri" w:hAnsi="Cambria" w:cs="Times New Roman"/>
          <w:b/>
          <w:sz w:val="36"/>
          <w:szCs w:val="36"/>
        </w:rPr>
      </w:pPr>
    </w:p>
    <w:p w:rsidR="00C72FDA" w:rsidRPr="00B50386" w:rsidRDefault="00C72FDA" w:rsidP="00C72FDA">
      <w:pPr>
        <w:spacing w:after="200" w:line="276" w:lineRule="auto"/>
        <w:jc w:val="center"/>
        <w:rPr>
          <w:rFonts w:ascii="Cambria" w:eastAsia="Calibri" w:hAnsi="Cambria" w:cs="Times New Roman"/>
          <w:b/>
          <w:sz w:val="36"/>
          <w:szCs w:val="36"/>
        </w:rPr>
      </w:pPr>
      <w:r w:rsidRPr="00B50386">
        <w:rPr>
          <w:rFonts w:ascii="Cambria" w:eastAsia="Calibri" w:hAnsi="Cambria" w:cs="Times New Roman"/>
          <w:b/>
          <w:sz w:val="36"/>
          <w:szCs w:val="36"/>
        </w:rPr>
        <w:lastRenderedPageBreak/>
        <w:t>Community Health Vision</w:t>
      </w:r>
    </w:p>
    <w:p w:rsidR="00C72FDA" w:rsidRPr="00803FC4" w:rsidRDefault="00C72FDA" w:rsidP="00C72FDA">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The community health vision was developed by the Five County Community Partnership Team Steering Committee.</w:t>
      </w:r>
    </w:p>
    <w:p w:rsidR="00C72FDA" w:rsidRPr="00803FC4" w:rsidRDefault="00C72FDA" w:rsidP="00C72FDA">
      <w:pPr>
        <w:spacing w:after="200" w:line="276" w:lineRule="auto"/>
        <w:rPr>
          <w:rFonts w:ascii="Calibri" w:eastAsia="Calibri" w:hAnsi="Calibri" w:cs="Times New Roman"/>
          <w:b/>
          <w:sz w:val="24"/>
          <w:szCs w:val="24"/>
        </w:rPr>
      </w:pPr>
      <w:r w:rsidRPr="00803FC4">
        <w:rPr>
          <w:rFonts w:ascii="Calibri" w:eastAsia="Calibri" w:hAnsi="Calibri" w:cs="Times New Roman"/>
          <w:b/>
          <w:sz w:val="24"/>
          <w:szCs w:val="24"/>
        </w:rPr>
        <w:t>Our shared vision of a healthy community includes: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supports inclusion and acceptance of ALL people.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each person feels supported and valued.</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feels, and is, safe.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utilizes resources that are collaborative in nature, promoting access to services </w:t>
      </w:r>
      <w:r>
        <w:rPr>
          <w:rFonts w:ascii="Calibri" w:eastAsia="Calibri" w:hAnsi="Calibri" w:cs="Times New Roman"/>
          <w:sz w:val="24"/>
          <w:szCs w:val="24"/>
        </w:rPr>
        <w:t>for</w:t>
      </w:r>
      <w:r w:rsidRPr="00803FC4">
        <w:rPr>
          <w:rFonts w:ascii="Calibri" w:eastAsia="Calibri" w:hAnsi="Calibri" w:cs="Times New Roman"/>
          <w:sz w:val="24"/>
          <w:szCs w:val="24"/>
        </w:rPr>
        <w:t xml:space="preserve"> people when they need them.</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with increased outdoor functions and recreation to get people out of the house and active; having a chance to be physically active.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has places for kids to “hang out.”</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peoples’ needs are met in a reasonable amount of time.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people can access healthy foods.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understands poverty and the culture of poverty.</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is actively engaged and educated on issues affecting the health and well-being of the community. </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people feel connected and are supported.</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has and/or creates opportunities to attract and retain young adults.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with formal and informal resources to support single-parent families.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has easily accessible resources for people, including resources for people to remain living where they are.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can bridge the gap between technology, where people can navigate, or can receive assistance with, technology.</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provides the opportunity for, and promotes the development of, intergenerational relationships with community members.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is striving towards improved transportation and the ability for people to get to where they need to be.</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lastRenderedPageBreak/>
        <w:t>Having a community</w:t>
      </w:r>
      <w:r w:rsidRPr="00803FC4">
        <w:rPr>
          <w:rFonts w:ascii="Calibri" w:eastAsia="Calibri" w:hAnsi="Calibri" w:cs="Times New Roman"/>
          <w:sz w:val="24"/>
          <w:szCs w:val="24"/>
        </w:rPr>
        <w:t xml:space="preserve"> where businesses and organizations promote volunteer options to support the community</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there are adequate childcare options and supports for families.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supports children and young families to build stronger relationships with one another.</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sets children up for success through supportive and nurturing family and community support systems.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healthcare services and peoples’ healthcare needs are financially supported.</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supports the opportunity for people to work in the town that they live in, allowing for more time with their family and friends.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has an improved awareness of, and possibly positive changes in, their eating habits. </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has reduced chemical and alcohol use/abuse in children and adults.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people help each other.</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that is aware of and understanding mental health and mental illness and works to support the needs of the community members.</w:t>
      </w:r>
    </w:p>
    <w:p w:rsidR="00C72FDA" w:rsidRPr="00803FC4" w:rsidRDefault="00C72FDA" w:rsidP="00C72FDA">
      <w:pPr>
        <w:spacing w:after="200" w:line="240" w:lineRule="auto"/>
        <w:rPr>
          <w:rFonts w:ascii="Calibri" w:eastAsia="Calibri" w:hAnsi="Calibri" w:cs="Times New Roman"/>
          <w:sz w:val="24"/>
          <w:szCs w:val="24"/>
        </w:rPr>
      </w:pPr>
      <w:r w:rsidRPr="00803FC4">
        <w:rPr>
          <w:rFonts w:ascii="Calibri" w:eastAsia="Calibri" w:hAnsi="Calibri" w:cs="Times New Roman"/>
          <w:b/>
          <w:i/>
          <w:sz w:val="24"/>
          <w:szCs w:val="24"/>
        </w:rPr>
        <w:t>Having a community</w:t>
      </w:r>
      <w:r w:rsidRPr="00803FC4">
        <w:rPr>
          <w:rFonts w:ascii="Calibri" w:eastAsia="Calibri" w:hAnsi="Calibri" w:cs="Times New Roman"/>
          <w:sz w:val="24"/>
          <w:szCs w:val="24"/>
        </w:rPr>
        <w:t xml:space="preserve"> where there is respect for the environment and our natural resources.</w:t>
      </w:r>
    </w:p>
    <w:p w:rsidR="00803FC4" w:rsidRPr="00803FC4" w:rsidRDefault="00803FC4" w:rsidP="00803FC4">
      <w:pPr>
        <w:spacing w:after="200" w:line="276" w:lineRule="auto"/>
        <w:rPr>
          <w:rFonts w:ascii="Times New Roman" w:eastAsia="Calibri" w:hAnsi="Times New Roman" w:cs="Times New Roman"/>
          <w:sz w:val="24"/>
          <w:szCs w:val="24"/>
        </w:rPr>
      </w:pPr>
    </w:p>
    <w:p w:rsidR="00803FC4" w:rsidRPr="00803FC4" w:rsidRDefault="00803FC4" w:rsidP="00803FC4">
      <w:pPr>
        <w:spacing w:after="200" w:line="276" w:lineRule="auto"/>
        <w:rPr>
          <w:rFonts w:ascii="Times New Roman" w:eastAsia="Calibri" w:hAnsi="Times New Roman" w:cs="Times New Roman"/>
          <w:sz w:val="24"/>
          <w:szCs w:val="24"/>
        </w:rPr>
      </w:pPr>
    </w:p>
    <w:p w:rsidR="00803FC4" w:rsidRPr="00803FC4" w:rsidRDefault="00803FC4" w:rsidP="00803FC4">
      <w:pPr>
        <w:spacing w:after="200" w:line="276" w:lineRule="auto"/>
        <w:rPr>
          <w:rFonts w:ascii="Times New Roman" w:eastAsia="Calibri" w:hAnsi="Times New Roman" w:cs="Times New Roman"/>
          <w:sz w:val="24"/>
          <w:szCs w:val="24"/>
        </w:rPr>
      </w:pPr>
    </w:p>
    <w:p w:rsidR="00803FC4" w:rsidRPr="00803FC4" w:rsidRDefault="00803FC4" w:rsidP="00803FC4">
      <w:pPr>
        <w:spacing w:after="200" w:line="276" w:lineRule="auto"/>
        <w:rPr>
          <w:rFonts w:ascii="Times New Roman" w:eastAsia="Calibri" w:hAnsi="Times New Roman" w:cs="Times New Roman"/>
          <w:sz w:val="24"/>
          <w:szCs w:val="24"/>
        </w:rPr>
      </w:pPr>
    </w:p>
    <w:p w:rsidR="00803FC4" w:rsidRDefault="00803FC4" w:rsidP="00803FC4">
      <w:pPr>
        <w:spacing w:after="200" w:line="276" w:lineRule="auto"/>
        <w:rPr>
          <w:rFonts w:ascii="Times New Roman" w:eastAsia="Calibri" w:hAnsi="Times New Roman" w:cs="Times New Roman"/>
          <w:sz w:val="24"/>
          <w:szCs w:val="24"/>
        </w:rPr>
      </w:pPr>
    </w:p>
    <w:p w:rsidR="00B50386" w:rsidRDefault="00B50386" w:rsidP="00803FC4">
      <w:pPr>
        <w:spacing w:after="200" w:line="276" w:lineRule="auto"/>
        <w:rPr>
          <w:rFonts w:ascii="Times New Roman" w:eastAsia="Calibri" w:hAnsi="Times New Roman" w:cs="Times New Roman"/>
          <w:sz w:val="24"/>
          <w:szCs w:val="24"/>
        </w:rPr>
      </w:pPr>
    </w:p>
    <w:p w:rsidR="00B50386" w:rsidRDefault="00B50386" w:rsidP="00803FC4">
      <w:pPr>
        <w:spacing w:after="200" w:line="276" w:lineRule="auto"/>
        <w:rPr>
          <w:rFonts w:ascii="Times New Roman" w:eastAsia="Calibri" w:hAnsi="Times New Roman" w:cs="Times New Roman"/>
          <w:sz w:val="24"/>
          <w:szCs w:val="24"/>
        </w:rPr>
      </w:pPr>
    </w:p>
    <w:p w:rsidR="00B50386" w:rsidRDefault="00B50386" w:rsidP="00803FC4">
      <w:pPr>
        <w:spacing w:after="200" w:line="276" w:lineRule="auto"/>
        <w:rPr>
          <w:rFonts w:ascii="Times New Roman" w:eastAsia="Calibri" w:hAnsi="Times New Roman" w:cs="Times New Roman"/>
          <w:sz w:val="24"/>
          <w:szCs w:val="24"/>
        </w:rPr>
      </w:pPr>
    </w:p>
    <w:p w:rsidR="00B50386" w:rsidRDefault="00B50386" w:rsidP="00803FC4">
      <w:pPr>
        <w:spacing w:after="200" w:line="276" w:lineRule="auto"/>
        <w:rPr>
          <w:rFonts w:ascii="Times New Roman" w:eastAsia="Calibri" w:hAnsi="Times New Roman" w:cs="Times New Roman"/>
          <w:sz w:val="24"/>
          <w:szCs w:val="24"/>
        </w:rPr>
      </w:pPr>
    </w:p>
    <w:p w:rsidR="00B50386" w:rsidRDefault="00B50386" w:rsidP="00803FC4">
      <w:pPr>
        <w:spacing w:after="200" w:line="276" w:lineRule="auto"/>
        <w:rPr>
          <w:rFonts w:ascii="Times New Roman" w:eastAsia="Calibri" w:hAnsi="Times New Roman" w:cs="Times New Roman"/>
          <w:b/>
          <w:sz w:val="24"/>
          <w:szCs w:val="24"/>
        </w:rPr>
      </w:pPr>
    </w:p>
    <w:p w:rsidR="00EA15B8" w:rsidRDefault="00EA15B8" w:rsidP="00EA15B8">
      <w:pPr>
        <w:rPr>
          <w:color w:val="44546A" w:themeColor="text2"/>
          <w:sz w:val="24"/>
          <w:szCs w:val="24"/>
        </w:rPr>
      </w:pPr>
    </w:p>
    <w:p w:rsidR="004013C2" w:rsidRPr="004013C2" w:rsidRDefault="004013C2" w:rsidP="004013C2">
      <w:pPr>
        <w:pBdr>
          <w:bottom w:val="single" w:sz="8" w:space="4" w:color="5B9BD5" w:themeColor="accent1"/>
        </w:pBdr>
        <w:spacing w:after="300" w:line="240" w:lineRule="auto"/>
        <w:contextualSpacing/>
        <w:rPr>
          <w:rFonts w:ascii="Cambria" w:eastAsia="Times New Roman" w:hAnsi="Cambria" w:cs="Times New Roman"/>
          <w:color w:val="323E4F" w:themeColor="text2" w:themeShade="BF"/>
          <w:spacing w:val="5"/>
          <w:kern w:val="28"/>
          <w:sz w:val="52"/>
          <w:szCs w:val="52"/>
        </w:rPr>
      </w:pPr>
      <w:r>
        <w:rPr>
          <w:rFonts w:ascii="Cambria" w:eastAsia="Times New Roman" w:hAnsi="Cambria" w:cs="Times New Roman"/>
          <w:color w:val="323E4F" w:themeColor="text2" w:themeShade="BF"/>
          <w:spacing w:val="5"/>
          <w:kern w:val="28"/>
          <w:sz w:val="52"/>
          <w:szCs w:val="52"/>
        </w:rPr>
        <w:lastRenderedPageBreak/>
        <w:t>Community Health Assessment</w:t>
      </w:r>
    </w:p>
    <w:p w:rsidR="00502274" w:rsidRPr="00502274" w:rsidRDefault="00502274" w:rsidP="004D5491">
      <w:pPr>
        <w:spacing w:after="200" w:line="276" w:lineRule="auto"/>
        <w:jc w:val="center"/>
        <w:rPr>
          <w:rFonts w:ascii="Calibri" w:eastAsia="Calibri" w:hAnsi="Calibri" w:cs="Times New Roman"/>
          <w:i/>
          <w:sz w:val="24"/>
          <w:szCs w:val="24"/>
        </w:rPr>
      </w:pPr>
      <w:r>
        <w:rPr>
          <w:rFonts w:ascii="Calibri" w:eastAsia="Calibri" w:hAnsi="Calibri" w:cs="Times New Roman"/>
          <w:i/>
          <w:sz w:val="24"/>
          <w:szCs w:val="24"/>
        </w:rPr>
        <w:t>The data within this document was analyzed in collaboration with Members of the Five County Community Partnership Team Steering Committee</w:t>
      </w:r>
    </w:p>
    <w:p w:rsidR="002756E3" w:rsidRPr="00FD0EC8" w:rsidRDefault="002756E3" w:rsidP="002756E3">
      <w:pPr>
        <w:jc w:val="center"/>
        <w:rPr>
          <w:rFonts w:ascii="Cambria" w:hAnsi="Cambria" w:cs="Times New Roman"/>
          <w:b/>
          <w:sz w:val="36"/>
          <w:szCs w:val="36"/>
          <w:u w:val="single"/>
        </w:rPr>
      </w:pPr>
      <w:r w:rsidRPr="00FD0EC8">
        <w:rPr>
          <w:rFonts w:ascii="Cambria" w:hAnsi="Cambria" w:cs="Times New Roman"/>
          <w:b/>
          <w:sz w:val="36"/>
          <w:szCs w:val="36"/>
          <w:u w:val="single"/>
        </w:rPr>
        <w:t>Limitations</w:t>
      </w:r>
    </w:p>
    <w:p w:rsidR="002756E3" w:rsidRPr="00C808EA" w:rsidRDefault="002756E3" w:rsidP="00067187">
      <w:pPr>
        <w:spacing w:line="276" w:lineRule="auto"/>
        <w:rPr>
          <w:rFonts w:cs="Times New Roman"/>
          <w:sz w:val="24"/>
          <w:szCs w:val="24"/>
        </w:rPr>
      </w:pPr>
      <w:r w:rsidRPr="00C808EA">
        <w:rPr>
          <w:rFonts w:cs="Times New Roman"/>
          <w:sz w:val="24"/>
          <w:szCs w:val="24"/>
        </w:rPr>
        <w:t>Within the process of completing a community health assessment, there are many important issues and topics that come to light. However, it is important to note that not every possible issue can be addressed. Through the community partnership team, there were a plethora of areas and/or potential issues that were identified, which required further exploration. Through the utilization of a 5-County Steering Committee, a broad and diverse range of perspectives from the community were gathered.</w:t>
      </w:r>
    </w:p>
    <w:p w:rsidR="002756E3" w:rsidRPr="00FD0EC8" w:rsidRDefault="002756E3" w:rsidP="002756E3">
      <w:pPr>
        <w:jc w:val="center"/>
        <w:rPr>
          <w:rFonts w:ascii="Cambria" w:hAnsi="Cambria"/>
          <w:b/>
          <w:sz w:val="36"/>
          <w:szCs w:val="36"/>
        </w:rPr>
      </w:pPr>
      <w:r w:rsidRPr="00FD0EC8">
        <w:rPr>
          <w:rFonts w:ascii="Cambria" w:hAnsi="Cambria"/>
          <w:b/>
          <w:sz w:val="36"/>
          <w:szCs w:val="36"/>
          <w:u w:val="single"/>
        </w:rPr>
        <w:t>Process</w:t>
      </w:r>
    </w:p>
    <w:p w:rsidR="002756E3" w:rsidRPr="00CC50A2" w:rsidRDefault="002756E3" w:rsidP="00067187">
      <w:pPr>
        <w:spacing w:line="276" w:lineRule="auto"/>
        <w:rPr>
          <w:sz w:val="24"/>
          <w:szCs w:val="24"/>
        </w:rPr>
      </w:pPr>
      <w:r w:rsidRPr="00CC50A2">
        <w:rPr>
          <w:sz w:val="24"/>
          <w:szCs w:val="24"/>
        </w:rPr>
        <w:t>The 2017-2021 Horizon Public Health Community Health Assessment (CHA) was conducted to identify priority health issues and the current health status and needs of the community. The identification and sharing of this information was utilized to make a positive impact on the health of the Horizon Public Health communities and towards developing a more comprehensive plan for community health improvement.</w:t>
      </w:r>
    </w:p>
    <w:p w:rsidR="002756E3" w:rsidRPr="00CC50A2" w:rsidRDefault="002756E3" w:rsidP="00067187">
      <w:pPr>
        <w:spacing w:line="276" w:lineRule="auto"/>
        <w:rPr>
          <w:sz w:val="24"/>
          <w:szCs w:val="24"/>
        </w:rPr>
      </w:pPr>
      <w:r w:rsidRPr="00CC50A2">
        <w:rPr>
          <w:sz w:val="24"/>
          <w:szCs w:val="24"/>
        </w:rPr>
        <w:t xml:space="preserve">The process was originally initiated </w:t>
      </w:r>
      <w:r>
        <w:rPr>
          <w:sz w:val="24"/>
          <w:szCs w:val="24"/>
        </w:rPr>
        <w:t>with the formulation of the 5-C</w:t>
      </w:r>
      <w:r w:rsidRPr="00CC50A2">
        <w:rPr>
          <w:sz w:val="24"/>
          <w:szCs w:val="24"/>
        </w:rPr>
        <w:t>ounty Community Partnership Team (CPT) in early January 2017. This partnership team was comprised of community members, leaders, providers, and partners. In collaboration, the CPT conducted a high-quality Community Health Assessment that built on the foundational history of cross-sector partnerships and collaboration. Partnerships were deepened and expanded across a five county region and improved and enhanced the capacity to collectively work together towards a common goal.</w:t>
      </w:r>
    </w:p>
    <w:p w:rsidR="002756E3" w:rsidRPr="00FD0EC8" w:rsidRDefault="002756E3" w:rsidP="002756E3">
      <w:pPr>
        <w:jc w:val="center"/>
        <w:rPr>
          <w:rFonts w:ascii="Cambria" w:hAnsi="Cambria"/>
          <w:b/>
          <w:i/>
          <w:sz w:val="36"/>
          <w:szCs w:val="36"/>
          <w:u w:val="single"/>
        </w:rPr>
      </w:pPr>
      <w:r w:rsidRPr="00FD0EC8">
        <w:rPr>
          <w:rFonts w:ascii="Cambria" w:hAnsi="Cambria"/>
          <w:b/>
          <w:sz w:val="36"/>
          <w:szCs w:val="36"/>
          <w:u w:val="single"/>
        </w:rPr>
        <w:t>Model</w:t>
      </w:r>
    </w:p>
    <w:p w:rsidR="002756E3" w:rsidRPr="00CC50A2" w:rsidRDefault="002756E3" w:rsidP="00067187">
      <w:pPr>
        <w:spacing w:line="276" w:lineRule="auto"/>
        <w:rPr>
          <w:sz w:val="24"/>
          <w:szCs w:val="24"/>
        </w:rPr>
      </w:pPr>
      <w:r w:rsidRPr="00CC50A2">
        <w:rPr>
          <w:sz w:val="24"/>
          <w:szCs w:val="24"/>
        </w:rPr>
        <w:t xml:space="preserve">Planning for this assessment began in </w:t>
      </w:r>
      <w:r>
        <w:rPr>
          <w:sz w:val="24"/>
          <w:szCs w:val="24"/>
        </w:rPr>
        <w:t>the f</w:t>
      </w:r>
      <w:r w:rsidRPr="00CC50A2">
        <w:rPr>
          <w:sz w:val="24"/>
          <w:szCs w:val="24"/>
        </w:rPr>
        <w:t>all of 2016. This assessment followed an evidence-based model, known as Mobilizing for Action through Planning and Partnerships (MAPP). This model includes four assessments: (1) Community Health Systems Assessment; (2) Community Themes and Strengths Assessment; (3) Forces of Change Assessment; and (4) Local Public Health System Assessment. This assessment process was utilized to promote the gathering of data from multiple assessment modalities. This process allowed for community involvement to build on the foundation of the assessment through additional analysis and perspective of available data about the community.</w:t>
      </w:r>
    </w:p>
    <w:p w:rsidR="0014506A" w:rsidRPr="00CC50A2" w:rsidRDefault="004D5491" w:rsidP="00067187">
      <w:pPr>
        <w:spacing w:line="276" w:lineRule="auto"/>
        <w:rPr>
          <w:sz w:val="24"/>
          <w:szCs w:val="24"/>
        </w:rPr>
      </w:pPr>
      <w:r>
        <w:rPr>
          <w:sz w:val="24"/>
          <w:szCs w:val="24"/>
        </w:rPr>
        <w:lastRenderedPageBreak/>
        <w:t>Through a series of three</w:t>
      </w:r>
      <w:r w:rsidR="002756E3" w:rsidRPr="00CC50A2">
        <w:rPr>
          <w:sz w:val="24"/>
          <w:szCs w:val="24"/>
        </w:rPr>
        <w:t xml:space="preserve"> meetings and online communication, the CPT </w:t>
      </w:r>
      <w:r>
        <w:rPr>
          <w:sz w:val="24"/>
          <w:szCs w:val="24"/>
        </w:rPr>
        <w:t>has worked through a modified version of the</w:t>
      </w:r>
      <w:r w:rsidR="002756E3" w:rsidRPr="00CC50A2">
        <w:rPr>
          <w:sz w:val="24"/>
          <w:szCs w:val="24"/>
        </w:rPr>
        <w:t xml:space="preserve"> MAPP model in order to complete the assessment. Following the </w:t>
      </w:r>
      <w:r>
        <w:rPr>
          <w:sz w:val="24"/>
          <w:szCs w:val="24"/>
        </w:rPr>
        <w:t>completion of the fourth meeting, strategic issues will be</w:t>
      </w:r>
      <w:r w:rsidR="002756E3" w:rsidRPr="00CC50A2">
        <w:rPr>
          <w:sz w:val="24"/>
          <w:szCs w:val="24"/>
        </w:rPr>
        <w:t xml:space="preserve"> identified utilizing </w:t>
      </w:r>
      <w:r>
        <w:rPr>
          <w:sz w:val="24"/>
          <w:szCs w:val="24"/>
        </w:rPr>
        <w:t xml:space="preserve">a </w:t>
      </w:r>
      <w:r w:rsidR="002756E3" w:rsidRPr="00CC50A2">
        <w:rPr>
          <w:sz w:val="24"/>
          <w:szCs w:val="24"/>
        </w:rPr>
        <w:t xml:space="preserve">two </w:t>
      </w:r>
      <w:r>
        <w:rPr>
          <w:sz w:val="24"/>
          <w:szCs w:val="24"/>
        </w:rPr>
        <w:t>phase prioritization process</w:t>
      </w:r>
      <w:r w:rsidR="002756E3" w:rsidRPr="00CC50A2">
        <w:rPr>
          <w:sz w:val="24"/>
          <w:szCs w:val="24"/>
        </w:rPr>
        <w:t>. These</w:t>
      </w:r>
      <w:r>
        <w:rPr>
          <w:sz w:val="24"/>
          <w:szCs w:val="24"/>
        </w:rPr>
        <w:t xml:space="preserve"> will include</w:t>
      </w:r>
      <w:r w:rsidR="002756E3" w:rsidRPr="00CC50A2">
        <w:rPr>
          <w:sz w:val="24"/>
          <w:szCs w:val="24"/>
        </w:rPr>
        <w:t xml:space="preserve"> the Hanlon method and a multi-voting process. The Hanlon method utilizes an unbiased, objective perspective which uses a set of scoring criteria to identify areas of focus. The multi-voting </w:t>
      </w:r>
      <w:r>
        <w:rPr>
          <w:sz w:val="24"/>
          <w:szCs w:val="24"/>
        </w:rPr>
        <w:t xml:space="preserve">prioritization process will also be </w:t>
      </w:r>
      <w:r w:rsidR="002756E3" w:rsidRPr="00CC50A2">
        <w:rPr>
          <w:sz w:val="24"/>
          <w:szCs w:val="24"/>
        </w:rPr>
        <w:t xml:space="preserve">used to help narrow </w:t>
      </w:r>
      <w:r>
        <w:rPr>
          <w:sz w:val="24"/>
          <w:szCs w:val="24"/>
        </w:rPr>
        <w:t xml:space="preserve">down </w:t>
      </w:r>
      <w:r w:rsidR="002756E3" w:rsidRPr="00CC50A2">
        <w:rPr>
          <w:sz w:val="24"/>
          <w:szCs w:val="24"/>
        </w:rPr>
        <w:t>the scope of the number of identified issues available. The combination of the two</w:t>
      </w:r>
      <w:r>
        <w:rPr>
          <w:sz w:val="24"/>
          <w:szCs w:val="24"/>
        </w:rPr>
        <w:t xml:space="preserve"> prioritization processes will lead</w:t>
      </w:r>
      <w:r w:rsidR="002756E3" w:rsidRPr="00CC50A2">
        <w:rPr>
          <w:sz w:val="24"/>
          <w:szCs w:val="24"/>
        </w:rPr>
        <w:t xml:space="preserve"> to a more strategic approach in identifying issues that are collectively impacting the five county Horizon communities.</w:t>
      </w:r>
    </w:p>
    <w:p w:rsidR="002756E3" w:rsidRPr="00FD0EC8" w:rsidRDefault="002756E3" w:rsidP="002756E3">
      <w:pPr>
        <w:jc w:val="center"/>
        <w:rPr>
          <w:rFonts w:ascii="Cambria" w:hAnsi="Cambria"/>
          <w:b/>
          <w:sz w:val="36"/>
          <w:szCs w:val="36"/>
          <w:u w:val="single"/>
        </w:rPr>
      </w:pPr>
      <w:r w:rsidRPr="00FD0EC8">
        <w:rPr>
          <w:rFonts w:ascii="Cambria" w:hAnsi="Cambria"/>
          <w:b/>
          <w:sz w:val="36"/>
          <w:szCs w:val="36"/>
          <w:u w:val="single"/>
        </w:rPr>
        <w:t>Data Collection</w:t>
      </w:r>
    </w:p>
    <w:p w:rsidR="002756E3" w:rsidRDefault="002756E3" w:rsidP="00067187">
      <w:pPr>
        <w:spacing w:line="276" w:lineRule="auto"/>
        <w:rPr>
          <w:sz w:val="24"/>
          <w:szCs w:val="24"/>
        </w:rPr>
      </w:pPr>
      <w:r w:rsidRPr="00CC50A2">
        <w:rPr>
          <w:sz w:val="24"/>
          <w:szCs w:val="24"/>
        </w:rPr>
        <w:t>Data collection for the Community Health Assessment has come through a plethora of methods, both quantitative and qualitative</w:t>
      </w:r>
      <w:r w:rsidR="0014506A">
        <w:rPr>
          <w:sz w:val="24"/>
          <w:szCs w:val="24"/>
        </w:rPr>
        <w:t xml:space="preserve"> through the utilization of the MAPP process</w:t>
      </w:r>
      <w:r w:rsidRPr="00CC50A2">
        <w:rPr>
          <w:sz w:val="24"/>
          <w:szCs w:val="24"/>
        </w:rPr>
        <w:t>. Some of these methods included gathering data through online, publicly available data</w:t>
      </w:r>
      <w:r>
        <w:rPr>
          <w:sz w:val="24"/>
          <w:szCs w:val="24"/>
        </w:rPr>
        <w:t xml:space="preserve"> sources</w:t>
      </w:r>
      <w:r w:rsidRPr="00CC50A2">
        <w:rPr>
          <w:sz w:val="24"/>
          <w:szCs w:val="24"/>
        </w:rPr>
        <w:t>, key informant interviews, surveys, open forums, and focus groups.</w:t>
      </w:r>
      <w:r w:rsidR="004571D5">
        <w:rPr>
          <w:sz w:val="24"/>
          <w:szCs w:val="24"/>
        </w:rPr>
        <w:t xml:space="preserve"> The people, organizations or groups that were contacted for </w:t>
      </w:r>
      <w:r w:rsidR="003E42DC">
        <w:rPr>
          <w:sz w:val="24"/>
          <w:szCs w:val="24"/>
        </w:rPr>
        <w:t xml:space="preserve">qualitative </w:t>
      </w:r>
      <w:r w:rsidR="004571D5">
        <w:rPr>
          <w:sz w:val="24"/>
          <w:szCs w:val="24"/>
        </w:rPr>
        <w:t>information included:</w:t>
      </w:r>
    </w:p>
    <w:p w:rsidR="004571D5" w:rsidRDefault="004571D5" w:rsidP="00067187">
      <w:pPr>
        <w:spacing w:line="276" w:lineRule="auto"/>
        <w:rPr>
          <w:sz w:val="24"/>
          <w:szCs w:val="24"/>
        </w:rPr>
      </w:pPr>
      <w:r w:rsidRPr="004571D5">
        <w:rPr>
          <w:sz w:val="24"/>
          <w:szCs w:val="24"/>
          <w:u w:val="single"/>
        </w:rPr>
        <w:t>Key Informant Interviews</w:t>
      </w:r>
      <w:r>
        <w:rPr>
          <w:sz w:val="24"/>
          <w:szCs w:val="24"/>
        </w:rPr>
        <w:t>: Social Services; UMM Community Engagement; Early Childhood Initiative; Center-based childcare; Law Enforcement, Hospital Emergency Room</w:t>
      </w:r>
    </w:p>
    <w:p w:rsidR="004571D5" w:rsidRDefault="004571D5" w:rsidP="00067187">
      <w:pPr>
        <w:spacing w:line="276" w:lineRule="auto"/>
        <w:rPr>
          <w:sz w:val="24"/>
          <w:szCs w:val="24"/>
        </w:rPr>
      </w:pPr>
      <w:r w:rsidRPr="004571D5">
        <w:rPr>
          <w:sz w:val="24"/>
          <w:szCs w:val="24"/>
          <w:u w:val="single"/>
        </w:rPr>
        <w:t>Open Forums</w:t>
      </w:r>
      <w:r>
        <w:rPr>
          <w:sz w:val="24"/>
          <w:szCs w:val="24"/>
        </w:rPr>
        <w:t>: Family childcare providers; Region IV Mental Health Consortium “Conversations” group</w:t>
      </w:r>
    </w:p>
    <w:p w:rsidR="004571D5" w:rsidRDefault="004571D5" w:rsidP="00067187">
      <w:pPr>
        <w:spacing w:line="276" w:lineRule="auto"/>
        <w:rPr>
          <w:sz w:val="24"/>
          <w:szCs w:val="24"/>
        </w:rPr>
      </w:pPr>
      <w:r w:rsidRPr="004571D5">
        <w:rPr>
          <w:sz w:val="24"/>
          <w:szCs w:val="24"/>
          <w:u w:val="single"/>
        </w:rPr>
        <w:t>Focus Groups</w:t>
      </w:r>
      <w:r>
        <w:rPr>
          <w:sz w:val="24"/>
          <w:szCs w:val="24"/>
        </w:rPr>
        <w:t>: Conexiones group</w:t>
      </w:r>
    </w:p>
    <w:p w:rsidR="004571D5" w:rsidRPr="00CC50A2" w:rsidRDefault="004571D5" w:rsidP="00067187">
      <w:pPr>
        <w:spacing w:line="276" w:lineRule="auto"/>
        <w:rPr>
          <w:sz w:val="24"/>
          <w:szCs w:val="24"/>
        </w:rPr>
      </w:pPr>
      <w:r w:rsidRPr="004571D5">
        <w:rPr>
          <w:sz w:val="24"/>
          <w:szCs w:val="24"/>
          <w:u w:val="single"/>
        </w:rPr>
        <w:t>Surveys:</w:t>
      </w:r>
      <w:r>
        <w:rPr>
          <w:sz w:val="24"/>
          <w:szCs w:val="24"/>
        </w:rPr>
        <w:t xml:space="preserve"> 5-County community survey; aging and disability survey</w:t>
      </w:r>
    </w:p>
    <w:p w:rsidR="002756E3" w:rsidRPr="00FD0EC8" w:rsidRDefault="002756E3" w:rsidP="002756E3">
      <w:pPr>
        <w:jc w:val="center"/>
        <w:rPr>
          <w:rFonts w:ascii="Cambria" w:hAnsi="Cambria"/>
          <w:b/>
          <w:sz w:val="36"/>
          <w:szCs w:val="36"/>
          <w:u w:val="single"/>
        </w:rPr>
      </w:pPr>
      <w:r w:rsidRPr="00FD0EC8">
        <w:rPr>
          <w:rFonts w:ascii="Cambria" w:hAnsi="Cambria"/>
          <w:b/>
          <w:sz w:val="36"/>
          <w:szCs w:val="36"/>
          <w:u w:val="single"/>
        </w:rPr>
        <w:t>Public Input and Distribution</w:t>
      </w:r>
    </w:p>
    <w:p w:rsidR="004571D5" w:rsidRDefault="004571D5" w:rsidP="00067187">
      <w:pPr>
        <w:spacing w:line="276" w:lineRule="auto"/>
        <w:rPr>
          <w:sz w:val="24"/>
          <w:szCs w:val="24"/>
        </w:rPr>
      </w:pPr>
      <w:r>
        <w:rPr>
          <w:sz w:val="24"/>
          <w:szCs w:val="24"/>
        </w:rPr>
        <w:t xml:space="preserve">Public input </w:t>
      </w:r>
      <w:r w:rsidR="004919D0">
        <w:rPr>
          <w:sz w:val="24"/>
          <w:szCs w:val="24"/>
        </w:rPr>
        <w:t xml:space="preserve">from the community </w:t>
      </w:r>
      <w:r>
        <w:rPr>
          <w:sz w:val="24"/>
          <w:szCs w:val="24"/>
        </w:rPr>
        <w:t>has been</w:t>
      </w:r>
      <w:r w:rsidR="002756E3" w:rsidRPr="00C808EA">
        <w:rPr>
          <w:sz w:val="24"/>
          <w:szCs w:val="24"/>
        </w:rPr>
        <w:t xml:space="preserve"> encoura</w:t>
      </w:r>
      <w:r>
        <w:rPr>
          <w:sz w:val="24"/>
          <w:szCs w:val="24"/>
        </w:rPr>
        <w:t>ged throughout the timespan of</w:t>
      </w:r>
      <w:r w:rsidR="002756E3" w:rsidRPr="00C808EA">
        <w:rPr>
          <w:sz w:val="24"/>
          <w:szCs w:val="24"/>
        </w:rPr>
        <w:t xml:space="preserve"> February thr</w:t>
      </w:r>
      <w:r>
        <w:rPr>
          <w:sz w:val="24"/>
          <w:szCs w:val="24"/>
        </w:rPr>
        <w:t xml:space="preserve">ough May 2017. The Horizon Public Health website </w:t>
      </w:r>
      <w:r w:rsidR="004919D0">
        <w:rPr>
          <w:sz w:val="24"/>
          <w:szCs w:val="24"/>
        </w:rPr>
        <w:t>has</w:t>
      </w:r>
      <w:r>
        <w:rPr>
          <w:sz w:val="24"/>
          <w:szCs w:val="24"/>
        </w:rPr>
        <w:t xml:space="preserve"> made available contact information to provide any pertinent information to public health to share and discuss at </w:t>
      </w:r>
      <w:r w:rsidR="004919D0">
        <w:rPr>
          <w:sz w:val="24"/>
          <w:szCs w:val="24"/>
        </w:rPr>
        <w:t xml:space="preserve">community partnership team </w:t>
      </w:r>
      <w:r>
        <w:rPr>
          <w:sz w:val="24"/>
          <w:szCs w:val="24"/>
        </w:rPr>
        <w:t xml:space="preserve">meetings. </w:t>
      </w:r>
      <w:r w:rsidR="004919D0">
        <w:rPr>
          <w:sz w:val="24"/>
          <w:szCs w:val="24"/>
        </w:rPr>
        <w:t xml:space="preserve">The finalized community health assessment </w:t>
      </w:r>
      <w:r>
        <w:rPr>
          <w:sz w:val="24"/>
          <w:szCs w:val="24"/>
        </w:rPr>
        <w:t xml:space="preserve">document will </w:t>
      </w:r>
      <w:r w:rsidRPr="00C808EA">
        <w:rPr>
          <w:sz w:val="24"/>
          <w:szCs w:val="24"/>
        </w:rPr>
        <w:t>also</w:t>
      </w:r>
      <w:r>
        <w:rPr>
          <w:sz w:val="24"/>
          <w:szCs w:val="24"/>
        </w:rPr>
        <w:t xml:space="preserve"> be</w:t>
      </w:r>
      <w:r w:rsidRPr="00C808EA">
        <w:rPr>
          <w:sz w:val="24"/>
          <w:szCs w:val="24"/>
        </w:rPr>
        <w:t xml:space="preserve"> distributed to the members of the Community Partnership Team. Ho</w:t>
      </w:r>
      <w:r w:rsidR="004919D0">
        <w:rPr>
          <w:sz w:val="24"/>
          <w:szCs w:val="24"/>
        </w:rPr>
        <w:t>rizon Public Health will</w:t>
      </w:r>
      <w:r w:rsidRPr="00C808EA">
        <w:rPr>
          <w:sz w:val="24"/>
          <w:szCs w:val="24"/>
        </w:rPr>
        <w:t xml:space="preserve"> encourage further distribution</w:t>
      </w:r>
      <w:r w:rsidR="004919D0">
        <w:rPr>
          <w:sz w:val="24"/>
          <w:szCs w:val="24"/>
        </w:rPr>
        <w:t>,</w:t>
      </w:r>
      <w:r w:rsidRPr="00C808EA">
        <w:rPr>
          <w:sz w:val="24"/>
          <w:szCs w:val="24"/>
        </w:rPr>
        <w:t xml:space="preserve"> as applicable</w:t>
      </w:r>
      <w:r w:rsidR="004919D0">
        <w:rPr>
          <w:sz w:val="24"/>
          <w:szCs w:val="24"/>
        </w:rPr>
        <w:t>,</w:t>
      </w:r>
      <w:r w:rsidRPr="00C808EA">
        <w:rPr>
          <w:sz w:val="24"/>
          <w:szCs w:val="24"/>
        </w:rPr>
        <w:t xml:space="preserve"> by Community Partnership members.</w:t>
      </w:r>
    </w:p>
    <w:p w:rsidR="004571D5" w:rsidRDefault="004571D5" w:rsidP="002756E3">
      <w:pPr>
        <w:rPr>
          <w:sz w:val="24"/>
          <w:szCs w:val="24"/>
        </w:rPr>
      </w:pPr>
    </w:p>
    <w:p w:rsidR="00067187" w:rsidRDefault="00067187" w:rsidP="00067187">
      <w:pPr>
        <w:rPr>
          <w:sz w:val="24"/>
          <w:szCs w:val="24"/>
        </w:rPr>
      </w:pPr>
    </w:p>
    <w:p w:rsidR="002901FC" w:rsidRDefault="002901FC" w:rsidP="00067187">
      <w:pPr>
        <w:jc w:val="center"/>
        <w:rPr>
          <w:color w:val="44546A" w:themeColor="text2"/>
          <w:sz w:val="24"/>
          <w:szCs w:val="24"/>
        </w:rPr>
      </w:pPr>
      <w:r>
        <w:rPr>
          <w:color w:val="44546A" w:themeColor="text2"/>
          <w:sz w:val="24"/>
          <w:szCs w:val="24"/>
        </w:rPr>
        <w:t>June 2017</w:t>
      </w:r>
    </w:p>
    <w:p w:rsidR="00F00FD8" w:rsidRPr="00067187" w:rsidRDefault="00401B2B" w:rsidP="00067187">
      <w:pPr>
        <w:jc w:val="center"/>
        <w:rPr>
          <w:color w:val="44546A" w:themeColor="text2"/>
          <w:sz w:val="24"/>
          <w:szCs w:val="24"/>
        </w:rPr>
      </w:pPr>
      <w:r>
        <w:rPr>
          <w:color w:val="44546A" w:themeColor="text2"/>
          <w:sz w:val="24"/>
          <w:szCs w:val="24"/>
        </w:rPr>
        <w:t xml:space="preserve"> </w:t>
      </w:r>
      <w:r w:rsidR="00EA15B8">
        <w:rPr>
          <w:color w:val="44546A" w:themeColor="text2"/>
          <w:sz w:val="24"/>
          <w:szCs w:val="24"/>
        </w:rPr>
        <w:t>Review Frequency: Annual</w:t>
      </w:r>
    </w:p>
    <w:p w:rsidR="002756E3" w:rsidRPr="00803FC4" w:rsidRDefault="002756E3" w:rsidP="002756E3">
      <w:pPr>
        <w:pBdr>
          <w:bottom w:val="single" w:sz="8" w:space="4" w:color="5B9BD5" w:themeColor="accent1"/>
        </w:pBdr>
        <w:spacing w:after="300" w:line="240" w:lineRule="auto"/>
        <w:contextualSpacing/>
        <w:rPr>
          <w:rFonts w:ascii="Cambria" w:eastAsia="Times New Roman" w:hAnsi="Cambria" w:cs="Times New Roman"/>
          <w:color w:val="323E4F" w:themeColor="text2" w:themeShade="BF"/>
          <w:spacing w:val="5"/>
          <w:kern w:val="28"/>
          <w:sz w:val="52"/>
          <w:szCs w:val="52"/>
        </w:rPr>
      </w:pPr>
      <w:r w:rsidRPr="00803FC4">
        <w:rPr>
          <w:rFonts w:ascii="Cambria" w:eastAsia="Times New Roman" w:hAnsi="Cambria" w:cs="Times New Roman"/>
          <w:color w:val="323E4F" w:themeColor="text2" w:themeShade="BF"/>
          <w:spacing w:val="5"/>
          <w:kern w:val="28"/>
          <w:sz w:val="52"/>
          <w:szCs w:val="52"/>
        </w:rPr>
        <w:lastRenderedPageBreak/>
        <w:t>Introduction</w:t>
      </w:r>
    </w:p>
    <w:p w:rsidR="002756E3" w:rsidRPr="00803FC4" w:rsidRDefault="002756E3" w:rsidP="002756E3">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Minnesota is a great place to live as lakes, fields, forests, and rivers in the state provide a beautiful backdrop for everyday activities.  Minnesotans are on average among the healthiest people in the nation and many individuals and organizations throughout the state share the mission of protecting, maintain</w:t>
      </w:r>
      <w:r w:rsidR="004013C2">
        <w:rPr>
          <w:rFonts w:ascii="Calibri" w:eastAsia="Calibri" w:hAnsi="Calibri" w:cs="Times New Roman"/>
          <w:sz w:val="24"/>
          <w:szCs w:val="24"/>
        </w:rPr>
        <w:t>ing,</w:t>
      </w:r>
      <w:r w:rsidRPr="00803FC4">
        <w:rPr>
          <w:rFonts w:ascii="Calibri" w:eastAsia="Calibri" w:hAnsi="Calibri" w:cs="Times New Roman"/>
          <w:sz w:val="24"/>
          <w:szCs w:val="24"/>
        </w:rPr>
        <w:t xml:space="preserve"> and improving the health and conditions of the state and its inhabitants.  </w:t>
      </w:r>
    </w:p>
    <w:p w:rsidR="002756E3" w:rsidRPr="00803FC4" w:rsidRDefault="002756E3" w:rsidP="002756E3">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The goal of this report is to present an assessment of health for five local counties: Douglas, Grant, Pope, Stevens, and Traverse. As a whole</w:t>
      </w:r>
      <w:r w:rsidR="004013C2">
        <w:rPr>
          <w:rFonts w:ascii="Calibri" w:eastAsia="Calibri" w:hAnsi="Calibri" w:cs="Times New Roman"/>
          <w:sz w:val="24"/>
          <w:szCs w:val="24"/>
        </w:rPr>
        <w:t>,</w:t>
      </w:r>
      <w:r w:rsidRPr="00803FC4">
        <w:rPr>
          <w:rFonts w:ascii="Calibri" w:eastAsia="Calibri" w:hAnsi="Calibri" w:cs="Times New Roman"/>
          <w:sz w:val="24"/>
          <w:szCs w:val="24"/>
        </w:rPr>
        <w:t xml:space="preserve"> these counties are identified as the Horizon Community Health Board (abbreviated Horizon in some of the following charts and graphs).  This assessment will also be compared to the state of Minnesota in order to assess </w:t>
      </w:r>
      <w:r>
        <w:rPr>
          <w:rFonts w:ascii="Calibri" w:eastAsia="Calibri" w:hAnsi="Calibri" w:cs="Times New Roman"/>
          <w:sz w:val="24"/>
          <w:szCs w:val="24"/>
        </w:rPr>
        <w:t>any county-level variation from the state health indicators</w:t>
      </w:r>
      <w:r w:rsidRPr="00803FC4">
        <w:rPr>
          <w:rFonts w:ascii="Calibri" w:eastAsia="Calibri" w:hAnsi="Calibri" w:cs="Times New Roman"/>
          <w:sz w:val="24"/>
          <w:szCs w:val="24"/>
        </w:rPr>
        <w:t>.  Health is defined by the World Health Organization as “a state of complete physical, mental and social well-being and not merely the absence of disease or infirmity.”</w:t>
      </w:r>
      <w:r w:rsidRPr="00803FC4">
        <w:rPr>
          <w:rFonts w:ascii="Calibri" w:eastAsia="Calibri" w:hAnsi="Calibri" w:cs="Times New Roman"/>
          <w:sz w:val="24"/>
          <w:szCs w:val="24"/>
          <w:vertAlign w:val="superscript"/>
        </w:rPr>
        <w:endnoteReference w:id="1"/>
      </w:r>
      <w:r w:rsidRPr="00803FC4">
        <w:rPr>
          <w:rFonts w:ascii="Calibri" w:eastAsia="Calibri" w:hAnsi="Calibri" w:cs="Times New Roman"/>
          <w:sz w:val="24"/>
          <w:szCs w:val="24"/>
        </w:rPr>
        <w:t xml:space="preserve">  By this definition, health protection and improvement must be seen as a holistic, multi-faceted web of conditions, including how people interact with their families, systems, and environment. Prevention is as important as healing and reflects the 1988 Institute of Medicine mission of public health, “</w:t>
      </w:r>
      <w:r>
        <w:rPr>
          <w:rFonts w:ascii="Calibri" w:eastAsia="Calibri" w:hAnsi="Calibri" w:cs="Times New Roman"/>
          <w:sz w:val="24"/>
          <w:szCs w:val="24"/>
        </w:rPr>
        <w:t>fulfilling</w:t>
      </w:r>
      <w:r w:rsidRPr="00803FC4">
        <w:rPr>
          <w:rFonts w:ascii="Calibri" w:eastAsia="Calibri" w:hAnsi="Calibri" w:cs="Times New Roman"/>
          <w:sz w:val="24"/>
          <w:szCs w:val="24"/>
        </w:rPr>
        <w:t xml:space="preserve"> society’s interest in </w:t>
      </w:r>
      <w:r w:rsidRPr="00803FC4">
        <w:rPr>
          <w:rFonts w:ascii="Calibri" w:eastAsia="Calibri" w:hAnsi="Calibri" w:cs="Times New Roman"/>
          <w:i/>
          <w:sz w:val="24"/>
          <w:szCs w:val="24"/>
        </w:rPr>
        <w:t xml:space="preserve">assuring the conditions </w:t>
      </w:r>
      <w:r w:rsidRPr="00803FC4">
        <w:rPr>
          <w:rFonts w:ascii="Calibri" w:eastAsia="Calibri" w:hAnsi="Calibri" w:cs="Times New Roman"/>
          <w:sz w:val="24"/>
          <w:szCs w:val="24"/>
        </w:rPr>
        <w:t>in which people can be healthy.”</w:t>
      </w:r>
      <w:r w:rsidRPr="00803FC4">
        <w:rPr>
          <w:rFonts w:ascii="Calibri" w:eastAsia="Calibri" w:hAnsi="Calibri" w:cs="Times New Roman"/>
          <w:sz w:val="24"/>
          <w:szCs w:val="24"/>
          <w:vertAlign w:val="superscript"/>
        </w:rPr>
        <w:endnoteReference w:id="2"/>
      </w:r>
    </w:p>
    <w:p w:rsidR="002756E3" w:rsidRPr="00803FC4" w:rsidRDefault="002756E3" w:rsidP="002756E3">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This report attempts to fulfill this definition</w:t>
      </w:r>
      <w:r w:rsidR="004013C2">
        <w:rPr>
          <w:rFonts w:ascii="Calibri" w:eastAsia="Calibri" w:hAnsi="Calibri" w:cs="Times New Roman"/>
          <w:sz w:val="24"/>
          <w:szCs w:val="24"/>
        </w:rPr>
        <w:t xml:space="preserve"> of health by providing a variety</w:t>
      </w:r>
      <w:r w:rsidRPr="00803FC4">
        <w:rPr>
          <w:rFonts w:ascii="Calibri" w:eastAsia="Calibri" w:hAnsi="Calibri" w:cs="Times New Roman"/>
          <w:sz w:val="24"/>
          <w:szCs w:val="24"/>
        </w:rPr>
        <w:t xml:space="preserve"> of </w:t>
      </w:r>
      <w:r w:rsidR="004013C2">
        <w:rPr>
          <w:rFonts w:ascii="Calibri" w:eastAsia="Calibri" w:hAnsi="Calibri" w:cs="Times New Roman"/>
          <w:sz w:val="24"/>
          <w:szCs w:val="24"/>
        </w:rPr>
        <w:t xml:space="preserve">health </w:t>
      </w:r>
      <w:r w:rsidRPr="00803FC4">
        <w:rPr>
          <w:rFonts w:ascii="Calibri" w:eastAsia="Calibri" w:hAnsi="Calibri" w:cs="Times New Roman"/>
          <w:sz w:val="24"/>
          <w:szCs w:val="24"/>
        </w:rPr>
        <w:t>indicators and information about the conditions and factors</w:t>
      </w:r>
      <w:r w:rsidR="004013C2">
        <w:rPr>
          <w:rFonts w:ascii="Calibri" w:eastAsia="Calibri" w:hAnsi="Calibri" w:cs="Times New Roman"/>
          <w:sz w:val="24"/>
          <w:szCs w:val="24"/>
        </w:rPr>
        <w:t xml:space="preserve"> affecting health and health status</w:t>
      </w:r>
      <w:r>
        <w:rPr>
          <w:rFonts w:ascii="Calibri" w:eastAsia="Calibri" w:hAnsi="Calibri" w:cs="Times New Roman"/>
          <w:sz w:val="24"/>
          <w:szCs w:val="24"/>
        </w:rPr>
        <w:t>. This framework</w:t>
      </w:r>
      <w:r w:rsidRPr="00803FC4">
        <w:rPr>
          <w:rFonts w:ascii="Calibri" w:eastAsia="Calibri" w:hAnsi="Calibri" w:cs="Times New Roman"/>
          <w:sz w:val="24"/>
          <w:szCs w:val="24"/>
        </w:rPr>
        <w:t xml:space="preserve"> is modeled after the Minnesota Statewide Health Assessment Report developed by the Minnesota Department of Health.  </w:t>
      </w:r>
      <w:r w:rsidR="004013C2">
        <w:rPr>
          <w:rFonts w:ascii="Calibri" w:eastAsia="Calibri" w:hAnsi="Calibri" w:cs="Times New Roman"/>
          <w:sz w:val="24"/>
          <w:szCs w:val="24"/>
        </w:rPr>
        <w:t>This report will additionally provide</w:t>
      </w:r>
      <w:r w:rsidRPr="00803FC4">
        <w:rPr>
          <w:rFonts w:ascii="Calibri" w:eastAsia="Calibri" w:hAnsi="Calibri" w:cs="Times New Roman"/>
          <w:sz w:val="24"/>
          <w:szCs w:val="24"/>
        </w:rPr>
        <w:t xml:space="preserve"> information about physical, social, and behavioral </w:t>
      </w:r>
      <w:r w:rsidRPr="004013C2">
        <w:rPr>
          <w:rFonts w:ascii="Calibri" w:eastAsia="Calibri" w:hAnsi="Calibri" w:cs="Times New Roman"/>
          <w:sz w:val="24"/>
          <w:szCs w:val="24"/>
        </w:rPr>
        <w:t xml:space="preserve">factors </w:t>
      </w:r>
      <w:r w:rsidRPr="00803FC4">
        <w:rPr>
          <w:rFonts w:ascii="Calibri" w:eastAsia="Calibri" w:hAnsi="Calibri" w:cs="Times New Roman"/>
          <w:sz w:val="24"/>
          <w:szCs w:val="24"/>
        </w:rPr>
        <w:t xml:space="preserve">for health within the </w:t>
      </w:r>
      <w:r>
        <w:rPr>
          <w:rFonts w:ascii="Calibri" w:eastAsia="Calibri" w:hAnsi="Calibri" w:cs="Times New Roman"/>
          <w:sz w:val="24"/>
          <w:szCs w:val="24"/>
        </w:rPr>
        <w:t xml:space="preserve">5 counties served by the </w:t>
      </w:r>
      <w:r w:rsidR="004013C2">
        <w:rPr>
          <w:rFonts w:ascii="Calibri" w:eastAsia="Calibri" w:hAnsi="Calibri" w:cs="Times New Roman"/>
          <w:sz w:val="24"/>
          <w:szCs w:val="24"/>
        </w:rPr>
        <w:t xml:space="preserve">Horizon Community Health Board, in addition to health outcomes, disease, and injury. </w:t>
      </w:r>
    </w:p>
    <w:p w:rsidR="002756E3" w:rsidRPr="00803FC4" w:rsidRDefault="002756E3" w:rsidP="002756E3">
      <w:pPr>
        <w:spacing w:after="200" w:line="276" w:lineRule="auto"/>
        <w:rPr>
          <w:rFonts w:ascii="Cambria" w:eastAsia="Times New Roman" w:hAnsi="Cambria" w:cs="Times New Roman"/>
          <w:b/>
          <w:bCs/>
          <w:sz w:val="32"/>
          <w:szCs w:val="26"/>
        </w:rPr>
      </w:pPr>
      <w:r w:rsidRPr="00803FC4">
        <w:rPr>
          <w:rFonts w:ascii="Calibri" w:eastAsia="Calibri" w:hAnsi="Calibri" w:cs="Times New Roman"/>
        </w:rPr>
        <w:br w:type="page"/>
      </w:r>
    </w:p>
    <w:p w:rsidR="002756E3" w:rsidRPr="00803FC4" w:rsidRDefault="002756E3" w:rsidP="004013C2">
      <w:pPr>
        <w:pBdr>
          <w:bottom w:val="single" w:sz="8" w:space="4" w:color="5B9BD5" w:themeColor="accent1"/>
        </w:pBdr>
        <w:spacing w:after="300" w:line="240" w:lineRule="auto"/>
        <w:contextualSpacing/>
        <w:rPr>
          <w:rFonts w:ascii="Cambria" w:eastAsia="Times New Roman" w:hAnsi="Cambria" w:cs="Times New Roman"/>
          <w:color w:val="323E4F" w:themeColor="text2" w:themeShade="BF"/>
          <w:spacing w:val="5"/>
          <w:kern w:val="28"/>
          <w:sz w:val="52"/>
          <w:szCs w:val="52"/>
        </w:rPr>
      </w:pPr>
      <w:r w:rsidRPr="00803FC4">
        <w:rPr>
          <w:rFonts w:ascii="Cambria" w:eastAsia="Times New Roman" w:hAnsi="Cambria" w:cs="Times New Roman"/>
          <w:color w:val="323E4F" w:themeColor="text2" w:themeShade="BF"/>
          <w:spacing w:val="5"/>
          <w:kern w:val="28"/>
          <w:sz w:val="52"/>
          <w:szCs w:val="52"/>
        </w:rPr>
        <w:lastRenderedPageBreak/>
        <w:t>People and Place</w:t>
      </w:r>
    </w:p>
    <w:p w:rsidR="002756E3" w:rsidRPr="00803FC4" w:rsidRDefault="002756E3" w:rsidP="002756E3">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 xml:space="preserve">Minnesotans symbolize every populated continent on the globe, and our faces reflect that diversity.  Minnesota’s geography is also diverse, and includes prairies, bluffs, forests, lakes, and rivers, including the mighty Mississippi.  Minnesotans share an appreciation for the beauty of their state and resourcefulness of their communities.  This section, </w:t>
      </w:r>
      <w:r w:rsidRPr="00803FC4">
        <w:rPr>
          <w:rFonts w:ascii="Calibri" w:eastAsia="Calibri" w:hAnsi="Calibri" w:cs="Times New Roman"/>
          <w:i/>
          <w:sz w:val="24"/>
          <w:szCs w:val="24"/>
        </w:rPr>
        <w:t>People and Place</w:t>
      </w:r>
      <w:r w:rsidRPr="00803FC4">
        <w:rPr>
          <w:rFonts w:ascii="Calibri" w:eastAsia="Calibri" w:hAnsi="Calibri" w:cs="Times New Roman"/>
          <w:sz w:val="24"/>
          <w:szCs w:val="24"/>
        </w:rPr>
        <w:t>, discusses populations trends; immigration and the increasing diversity of not only the state’s population, but the local counties; Minnesota’s and the Horizon Community Health Board’s changing age profile; and the water, weather, and air for the area.</w:t>
      </w:r>
    </w:p>
    <w:p w:rsidR="002756E3" w:rsidRPr="00B50386" w:rsidRDefault="002756E3" w:rsidP="002756E3">
      <w:pPr>
        <w:keepNext/>
        <w:keepLines/>
        <w:spacing w:before="200" w:after="0" w:line="276" w:lineRule="auto"/>
        <w:outlineLvl w:val="1"/>
        <w:rPr>
          <w:rFonts w:ascii="Cambria" w:eastAsia="Times New Roman" w:hAnsi="Cambria" w:cs="Times New Roman"/>
          <w:b/>
          <w:bCs/>
          <w:sz w:val="36"/>
          <w:szCs w:val="36"/>
        </w:rPr>
      </w:pPr>
      <w:r w:rsidRPr="00B50386">
        <w:rPr>
          <w:rFonts w:ascii="Cambria" w:eastAsia="Times New Roman" w:hAnsi="Cambria" w:cs="Times New Roman"/>
          <w:b/>
          <w:bCs/>
          <w:sz w:val="36"/>
          <w:szCs w:val="36"/>
        </w:rPr>
        <w:t xml:space="preserve">Population Trends </w:t>
      </w:r>
    </w:p>
    <w:p w:rsidR="002756E3" w:rsidRDefault="002756E3" w:rsidP="002756E3">
      <w:pPr>
        <w:spacing w:after="200" w:line="276" w:lineRule="auto"/>
        <w:rPr>
          <w:rFonts w:cs="Times New Roman"/>
          <w:sz w:val="24"/>
          <w:szCs w:val="24"/>
        </w:rPr>
      </w:pPr>
      <w:r w:rsidRPr="00803FC4">
        <w:rPr>
          <w:rFonts w:ascii="Calibri" w:eastAsia="Calibri" w:hAnsi="Calibri" w:cs="Times New Roman"/>
          <w:sz w:val="24"/>
          <w:szCs w:val="24"/>
        </w:rPr>
        <w:t>Geographically, Minnesota is largely a rural state</w:t>
      </w:r>
      <w:r>
        <w:rPr>
          <w:rFonts w:ascii="Calibri" w:eastAsia="Calibri" w:hAnsi="Calibri" w:cs="Times New Roman"/>
          <w:sz w:val="24"/>
          <w:szCs w:val="24"/>
        </w:rPr>
        <w:t xml:space="preserve"> despite the fact that m</w:t>
      </w:r>
      <w:r w:rsidRPr="00803FC4">
        <w:rPr>
          <w:rFonts w:ascii="Calibri" w:eastAsia="Calibri" w:hAnsi="Calibri" w:cs="Times New Roman"/>
          <w:sz w:val="24"/>
          <w:szCs w:val="24"/>
        </w:rPr>
        <w:t>ore than half of the state’s population</w:t>
      </w:r>
      <w:r>
        <w:rPr>
          <w:rFonts w:ascii="Calibri" w:eastAsia="Calibri" w:hAnsi="Calibri" w:cs="Times New Roman"/>
          <w:sz w:val="24"/>
          <w:szCs w:val="24"/>
        </w:rPr>
        <w:t xml:space="preserve"> </w:t>
      </w:r>
      <w:r w:rsidRPr="00803FC4">
        <w:rPr>
          <w:rFonts w:ascii="Calibri" w:eastAsia="Calibri" w:hAnsi="Calibri" w:cs="Times New Roman"/>
          <w:sz w:val="24"/>
          <w:szCs w:val="24"/>
        </w:rPr>
        <w:t xml:space="preserve">resides in the Twin Cities metropolitan areas in the east-central region of the state.  </w:t>
      </w:r>
      <w:r>
        <w:rPr>
          <w:rFonts w:ascii="Calibri" w:eastAsia="Calibri" w:hAnsi="Calibri" w:cs="Times New Roman"/>
          <w:sz w:val="24"/>
          <w:szCs w:val="24"/>
        </w:rPr>
        <w:t>The Horizon Community Health Board aligns with Minnesota’s geography, encompassing 5 rural counties comprised of many small communities. As of July 2015, the Horizon CHB has an estimated aggregate population of 67,200 people</w:t>
      </w:r>
      <w:r w:rsidRPr="00EA4DAA">
        <w:rPr>
          <w:rFonts w:eastAsia="Calibri" w:cs="Times New Roman"/>
          <w:sz w:val="24"/>
          <w:szCs w:val="24"/>
        </w:rPr>
        <w:t>.</w:t>
      </w:r>
      <w:r>
        <w:rPr>
          <w:rFonts w:eastAsia="Calibri" w:cs="Times New Roman"/>
          <w:sz w:val="24"/>
          <w:szCs w:val="24"/>
        </w:rPr>
        <w:t xml:space="preserve"> </w:t>
      </w:r>
      <w:r w:rsidRPr="00EA4DAA">
        <w:rPr>
          <w:rFonts w:cs="Times New Roman"/>
          <w:sz w:val="24"/>
          <w:szCs w:val="24"/>
        </w:rPr>
        <w:t xml:space="preserve">The </w:t>
      </w:r>
      <w:r>
        <w:rPr>
          <w:rFonts w:cs="Times New Roman"/>
          <w:sz w:val="24"/>
          <w:szCs w:val="24"/>
        </w:rPr>
        <w:t xml:space="preserve">population </w:t>
      </w:r>
      <w:r w:rsidRPr="00EA4DAA">
        <w:rPr>
          <w:rFonts w:cs="Times New Roman"/>
          <w:sz w:val="24"/>
          <w:szCs w:val="24"/>
        </w:rPr>
        <w:t xml:space="preserve">breakdown by county </w:t>
      </w:r>
      <w:r>
        <w:rPr>
          <w:rFonts w:cs="Times New Roman"/>
          <w:sz w:val="24"/>
          <w:szCs w:val="24"/>
        </w:rPr>
        <w:t>i</w:t>
      </w:r>
      <w:r w:rsidRPr="00EA4DAA">
        <w:rPr>
          <w:rFonts w:cs="Times New Roman"/>
          <w:sz w:val="24"/>
          <w:szCs w:val="24"/>
        </w:rPr>
        <w:t>ncludes:</w:t>
      </w:r>
    </w:p>
    <w:p w:rsidR="002756E3" w:rsidRPr="00EA4DAA" w:rsidRDefault="002756E3" w:rsidP="002756E3">
      <w:pPr>
        <w:pStyle w:val="ListParagraph"/>
        <w:numPr>
          <w:ilvl w:val="0"/>
          <w:numId w:val="5"/>
        </w:numPr>
        <w:spacing w:line="240" w:lineRule="auto"/>
        <w:ind w:left="0" w:firstLine="0"/>
        <w:rPr>
          <w:rFonts w:asciiTheme="minorHAnsi" w:hAnsiTheme="minorHAnsi"/>
          <w:sz w:val="24"/>
          <w:szCs w:val="24"/>
        </w:rPr>
      </w:pPr>
      <w:r>
        <w:rPr>
          <w:rFonts w:asciiTheme="minorHAnsi" w:hAnsiTheme="minorHAnsi"/>
          <w:sz w:val="24"/>
          <w:szCs w:val="24"/>
        </w:rPr>
        <w:t>D</w:t>
      </w:r>
      <w:r w:rsidRPr="00EA4DAA">
        <w:rPr>
          <w:rFonts w:asciiTheme="minorHAnsi" w:hAnsiTheme="minorHAnsi"/>
          <w:sz w:val="24"/>
          <w:szCs w:val="24"/>
        </w:rPr>
        <w:t>ouglas County 37,103</w:t>
      </w:r>
    </w:p>
    <w:p w:rsidR="002756E3" w:rsidRPr="00EA4DAA" w:rsidRDefault="002756E3" w:rsidP="002756E3">
      <w:pPr>
        <w:pStyle w:val="ListParagraph"/>
        <w:numPr>
          <w:ilvl w:val="0"/>
          <w:numId w:val="5"/>
        </w:numPr>
        <w:spacing w:line="240" w:lineRule="auto"/>
        <w:ind w:left="0" w:firstLine="0"/>
        <w:rPr>
          <w:rFonts w:asciiTheme="minorHAnsi" w:hAnsiTheme="minorHAnsi"/>
          <w:sz w:val="24"/>
          <w:szCs w:val="24"/>
        </w:rPr>
      </w:pPr>
      <w:r w:rsidRPr="00EA4DAA">
        <w:rPr>
          <w:rFonts w:asciiTheme="minorHAnsi" w:hAnsiTheme="minorHAnsi"/>
          <w:sz w:val="24"/>
          <w:szCs w:val="24"/>
        </w:rPr>
        <w:t>Grant County 5,872</w:t>
      </w:r>
    </w:p>
    <w:p w:rsidR="002756E3" w:rsidRPr="00EA4DAA" w:rsidRDefault="002756E3" w:rsidP="002756E3">
      <w:pPr>
        <w:pStyle w:val="ListParagraph"/>
        <w:numPr>
          <w:ilvl w:val="0"/>
          <w:numId w:val="5"/>
        </w:numPr>
        <w:spacing w:line="240" w:lineRule="auto"/>
        <w:ind w:left="0" w:firstLine="0"/>
        <w:rPr>
          <w:rFonts w:asciiTheme="minorHAnsi" w:hAnsiTheme="minorHAnsi"/>
          <w:sz w:val="24"/>
          <w:szCs w:val="24"/>
        </w:rPr>
      </w:pPr>
      <w:r w:rsidRPr="00EA4DAA">
        <w:rPr>
          <w:rFonts w:asciiTheme="minorHAnsi" w:hAnsiTheme="minorHAnsi"/>
          <w:sz w:val="24"/>
          <w:szCs w:val="24"/>
        </w:rPr>
        <w:t>Pope County  11,016</w:t>
      </w:r>
    </w:p>
    <w:p w:rsidR="002756E3" w:rsidRPr="00EA4DAA" w:rsidRDefault="002756E3" w:rsidP="002756E3">
      <w:pPr>
        <w:pStyle w:val="ListParagraph"/>
        <w:numPr>
          <w:ilvl w:val="0"/>
          <w:numId w:val="5"/>
        </w:numPr>
        <w:spacing w:line="240" w:lineRule="auto"/>
        <w:ind w:left="0" w:firstLine="0"/>
        <w:rPr>
          <w:rFonts w:asciiTheme="minorHAnsi" w:hAnsiTheme="minorHAnsi"/>
          <w:sz w:val="24"/>
          <w:szCs w:val="24"/>
        </w:rPr>
      </w:pPr>
      <w:r w:rsidRPr="00EA4DAA">
        <w:rPr>
          <w:rFonts w:asciiTheme="minorHAnsi" w:hAnsiTheme="minorHAnsi"/>
          <w:sz w:val="24"/>
          <w:szCs w:val="24"/>
        </w:rPr>
        <w:t>Stevens County 9,804</w:t>
      </w:r>
    </w:p>
    <w:p w:rsidR="002756E3" w:rsidRPr="00EA4DAA" w:rsidRDefault="002756E3" w:rsidP="002756E3">
      <w:pPr>
        <w:pStyle w:val="ListParagraph"/>
        <w:numPr>
          <w:ilvl w:val="0"/>
          <w:numId w:val="5"/>
        </w:numPr>
        <w:spacing w:line="240" w:lineRule="auto"/>
        <w:ind w:left="0" w:firstLine="0"/>
        <w:rPr>
          <w:rFonts w:asciiTheme="minorHAnsi" w:hAnsiTheme="minorHAnsi"/>
          <w:sz w:val="24"/>
          <w:szCs w:val="24"/>
        </w:rPr>
      </w:pPr>
      <w:r w:rsidRPr="00EA4DAA">
        <w:rPr>
          <w:rFonts w:asciiTheme="minorHAnsi" w:hAnsiTheme="minorHAnsi"/>
          <w:sz w:val="24"/>
          <w:szCs w:val="24"/>
        </w:rPr>
        <w:t>Traverse County  3,405</w:t>
      </w:r>
    </w:p>
    <w:p w:rsidR="002756E3" w:rsidRDefault="002756E3" w:rsidP="002756E3">
      <w:pPr>
        <w:spacing w:after="200" w:line="276" w:lineRule="auto"/>
        <w:rPr>
          <w:rFonts w:ascii="Calibri" w:eastAsia="Calibri" w:hAnsi="Calibri" w:cs="Times New Roman"/>
          <w:sz w:val="24"/>
          <w:szCs w:val="24"/>
        </w:rPr>
      </w:pPr>
      <w:r w:rsidRPr="00803FC4">
        <w:rPr>
          <w:rFonts w:ascii="Calibri" w:eastAsia="Calibri" w:hAnsi="Calibri" w:cs="Times New Roman"/>
          <w:sz w:val="24"/>
          <w:szCs w:val="24"/>
        </w:rPr>
        <w:t>Once a very demographically homogenous state, Minnesota’s racial and ethnic divers</w:t>
      </w:r>
      <w:r>
        <w:rPr>
          <w:rFonts w:ascii="Calibri" w:eastAsia="Calibri" w:hAnsi="Calibri" w:cs="Times New Roman"/>
          <w:sz w:val="24"/>
          <w:szCs w:val="24"/>
        </w:rPr>
        <w:t>ity is increasing rapidly in</w:t>
      </w:r>
      <w:r w:rsidRPr="00803FC4">
        <w:rPr>
          <w:rFonts w:ascii="Calibri" w:eastAsia="Calibri" w:hAnsi="Calibri" w:cs="Times New Roman"/>
          <w:sz w:val="24"/>
          <w:szCs w:val="24"/>
        </w:rPr>
        <w:t xml:space="preserve"> some areas as can be identified by the chart below.  Although there was not as high of percent change in population from 2000 to 2010 as there was in 1990 to 2000, there was still a 7.8% increase in population size for Minnesota.  Among that increase in population size for the state, 16.9% of the population is considered minority based on 2010 Census data.</w:t>
      </w:r>
    </w:p>
    <w:p w:rsidR="00B50386" w:rsidRPr="00CC50A2" w:rsidRDefault="002756E3" w:rsidP="002756E3">
      <w:pPr>
        <w:spacing w:after="200" w:line="276" w:lineRule="auto"/>
        <w:rPr>
          <w:color w:val="44546A" w:themeColor="text2"/>
          <w:sz w:val="24"/>
          <w:szCs w:val="24"/>
        </w:rPr>
      </w:pPr>
      <w:r w:rsidRPr="00803FC4">
        <w:rPr>
          <w:rFonts w:ascii="Calibri" w:eastAsia="Calibri" w:hAnsi="Calibri" w:cs="Times New Roman"/>
          <w:noProof/>
          <w:sz w:val="24"/>
          <w:szCs w:val="24"/>
        </w:rPr>
        <w:drawing>
          <wp:anchor distT="0" distB="0" distL="114300" distR="114300" simplePos="0" relativeHeight="251657728" behindDoc="1" locked="0" layoutInCell="1" allowOverlap="1" wp14:anchorId="58AE2460" wp14:editId="2BB651EA">
            <wp:simplePos x="0" y="0"/>
            <wp:positionH relativeFrom="column">
              <wp:posOffset>0</wp:posOffset>
            </wp:positionH>
            <wp:positionV relativeFrom="paragraph">
              <wp:posOffset>11430</wp:posOffset>
            </wp:positionV>
            <wp:extent cx="2371725" cy="1944370"/>
            <wp:effectExtent l="0" t="0" r="9525" b="0"/>
            <wp:wrapTight wrapText="bothSides">
              <wp:wrapPolygon edited="0">
                <wp:start x="0" y="0"/>
                <wp:lineTo x="0" y="21374"/>
                <wp:lineTo x="21513" y="21374"/>
                <wp:lineTo x="21513" y="0"/>
                <wp:lineTo x="0" y="0"/>
              </wp:wrapPolygon>
            </wp:wrapTight>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rizon County Ma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71725" cy="1944370"/>
                    </a:xfrm>
                    <a:prstGeom prst="rect">
                      <a:avLst/>
                    </a:prstGeom>
                    <a:noFill/>
                    <a:ln>
                      <a:noFill/>
                    </a:ln>
                  </pic:spPr>
                </pic:pic>
              </a:graphicData>
            </a:graphic>
            <wp14:sizeRelV relativeFrom="margin">
              <wp14:pctHeight>0</wp14:pctHeight>
            </wp14:sizeRelV>
          </wp:anchor>
        </w:drawing>
      </w:r>
      <w:r w:rsidRPr="00803FC4">
        <w:rPr>
          <w:rFonts w:ascii="Calibri" w:eastAsia="Calibri" w:hAnsi="Calibri" w:cs="Times New Roman"/>
          <w:sz w:val="24"/>
          <w:szCs w:val="24"/>
        </w:rPr>
        <w:t xml:space="preserve">Taking a closer look at the five individual counties that make up the Horizon Community Health Board, </w:t>
      </w:r>
      <w:r>
        <w:rPr>
          <w:rFonts w:ascii="Calibri" w:eastAsia="Calibri" w:hAnsi="Calibri" w:cs="Times New Roman"/>
          <w:sz w:val="24"/>
          <w:szCs w:val="24"/>
        </w:rPr>
        <w:t xml:space="preserve">you will </w:t>
      </w:r>
      <w:r w:rsidRPr="00803FC4">
        <w:rPr>
          <w:rFonts w:ascii="Calibri" w:eastAsia="Calibri" w:hAnsi="Calibri" w:cs="Times New Roman"/>
          <w:sz w:val="24"/>
          <w:szCs w:val="24"/>
        </w:rPr>
        <w:t xml:space="preserve">notice Douglas County had a positive percent change in population size of 9.7%.  However, the remaining four counties actually had a decrease in population size ranging from 2.1% to 13.9%.  Among the five counties, Stevens County has the highest percent minority </w:t>
      </w:r>
      <w:r w:rsidRPr="00803FC4">
        <w:rPr>
          <w:rFonts w:ascii="Calibri" w:eastAsia="Calibri" w:hAnsi="Calibri" w:cs="Times New Roman"/>
          <w:i/>
          <w:sz w:val="24"/>
          <w:szCs w:val="24"/>
        </w:rPr>
        <w:t xml:space="preserve">(not % </w:t>
      </w:r>
      <w:r w:rsidRPr="00803FC4">
        <w:rPr>
          <w:rFonts w:ascii="Calibri" w:eastAsia="Calibri" w:hAnsi="Calibri" w:cs="Times New Roman"/>
          <w:i/>
          <w:sz w:val="24"/>
          <w:szCs w:val="24"/>
        </w:rPr>
        <w:lastRenderedPageBreak/>
        <w:t>change)</w:t>
      </w:r>
      <w:r w:rsidRPr="00803FC4">
        <w:rPr>
          <w:rFonts w:ascii="Calibri" w:eastAsia="Calibri" w:hAnsi="Calibri" w:cs="Times New Roman"/>
          <w:sz w:val="24"/>
          <w:szCs w:val="24"/>
        </w:rPr>
        <w:t xml:space="preserve"> living within the county with 8.2% of its total population identified as minority.</w:t>
      </w:r>
    </w:p>
    <w:p w:rsidR="00803FC4" w:rsidRPr="00803FC4" w:rsidRDefault="00803FC4" w:rsidP="00803FC4">
      <w:pPr>
        <w:spacing w:after="200" w:line="276" w:lineRule="auto"/>
        <w:rPr>
          <w:rFonts w:ascii="Calibri" w:eastAsia="Calibri" w:hAnsi="Calibri" w:cs="Times New Roman"/>
          <w:b/>
          <w:i/>
          <w:sz w:val="24"/>
        </w:rPr>
      </w:pPr>
      <w:r w:rsidRPr="00803FC4">
        <w:rPr>
          <w:rFonts w:ascii="Calibri" w:eastAsia="Calibri" w:hAnsi="Calibri" w:cs="Times New Roman"/>
          <w:b/>
          <w:i/>
          <w:sz w:val="24"/>
        </w:rPr>
        <w:t>Population change in Minnesota by county: 1990-2010</w:t>
      </w:r>
    </w:p>
    <w:p w:rsidR="00803FC4" w:rsidRPr="00803FC4" w:rsidRDefault="00803FC4" w:rsidP="00803FC4">
      <w:pPr>
        <w:spacing w:after="200" w:line="276" w:lineRule="auto"/>
        <w:ind w:left="-720"/>
        <w:jc w:val="center"/>
        <w:rPr>
          <w:rFonts w:ascii="Calibri" w:eastAsia="Calibri" w:hAnsi="Calibri" w:cs="Times New Roman"/>
        </w:rPr>
      </w:pPr>
      <w:r w:rsidRPr="00803FC4">
        <w:rPr>
          <w:rFonts w:ascii="Calibri" w:eastAsia="Calibri" w:hAnsi="Calibri" w:cs="Times New Roman"/>
          <w:noProof/>
        </w:rPr>
        <w:drawing>
          <wp:inline distT="0" distB="0" distL="0" distR="0" wp14:anchorId="2BB6A746" wp14:editId="1BB22AC6">
            <wp:extent cx="6896100" cy="2276475"/>
            <wp:effectExtent l="0" t="0" r="0" b="9525"/>
            <wp:docPr id="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1F6E" w:rsidRPr="00D91F6E" w:rsidRDefault="002756E3" w:rsidP="00067187">
      <w:pPr>
        <w:spacing w:line="276" w:lineRule="auto"/>
        <w:ind w:firstLine="720"/>
        <w:rPr>
          <w:rFonts w:cs="Times New Roman"/>
          <w:sz w:val="24"/>
          <w:szCs w:val="24"/>
        </w:rPr>
      </w:pPr>
      <w:r w:rsidRPr="00D91F6E">
        <w:rPr>
          <w:rFonts w:cs="Times New Roman"/>
          <w:sz w:val="24"/>
          <w:szCs w:val="24"/>
        </w:rPr>
        <w:t>The following chart shows the population distribution for Minnesota and t</w:t>
      </w:r>
      <w:r w:rsidR="00D91F6E" w:rsidRPr="00D91F6E">
        <w:rPr>
          <w:rFonts w:cs="Times New Roman"/>
          <w:sz w:val="24"/>
          <w:szCs w:val="24"/>
        </w:rPr>
        <w:t xml:space="preserve">he five individual counties in </w:t>
      </w:r>
      <w:r w:rsidRPr="00D91F6E">
        <w:rPr>
          <w:rFonts w:cs="Times New Roman"/>
          <w:sz w:val="24"/>
          <w:szCs w:val="24"/>
        </w:rPr>
        <w:t xml:space="preserve">2015. </w:t>
      </w:r>
      <w:r w:rsidR="00D91F6E" w:rsidRPr="00D91F6E">
        <w:rPr>
          <w:rFonts w:eastAsia="Calibri" w:cs="Times New Roman"/>
          <w:sz w:val="24"/>
        </w:rPr>
        <w:t>The state of Minnesota in comparison to the Horizon CHB counties, has less disparity in age groups as evidenced by the graph below.</w:t>
      </w:r>
      <w:r w:rsidR="00D91F6E" w:rsidRPr="00D91F6E">
        <w:rPr>
          <w:rFonts w:eastAsia="Calibri" w:cs="Times New Roman"/>
          <w:sz w:val="24"/>
          <w:szCs w:val="24"/>
        </w:rPr>
        <w:t xml:space="preserve"> The graph for the Stevens County population disbursement, however, does highlight some slightly different trends. Stevens County primarily shows a younger population in the 15-24 year old age range, which is most likely correlated with the presence of the University of Minnesota, Morris.</w:t>
      </w:r>
    </w:p>
    <w:p w:rsidR="00EA4DAA" w:rsidRPr="00EA4DAA" w:rsidRDefault="00EA4DAA" w:rsidP="00EA4DAA">
      <w:pPr>
        <w:pStyle w:val="ListParagraph"/>
        <w:spacing w:line="240" w:lineRule="auto"/>
        <w:ind w:left="0"/>
        <w:rPr>
          <w:rFonts w:ascii="Times New Roman" w:hAnsi="Times New Roman"/>
          <w:b/>
          <w:i/>
          <w:sz w:val="24"/>
          <w:szCs w:val="24"/>
        </w:rPr>
      </w:pPr>
      <w:r w:rsidRPr="00167421">
        <w:rPr>
          <w:rFonts w:ascii="Times New Roman" w:hAnsi="Times New Roman"/>
          <w:b/>
          <w:i/>
          <w:sz w:val="24"/>
          <w:szCs w:val="24"/>
        </w:rPr>
        <w:t>Population Distribution in Horizon CHB counties, Year 2015</w:t>
      </w:r>
    </w:p>
    <w:p w:rsidR="00803FC4" w:rsidRPr="00803FC4" w:rsidRDefault="00EA4DAA" w:rsidP="00803FC4">
      <w:pPr>
        <w:keepNext/>
        <w:keepLines/>
        <w:spacing w:before="200" w:after="0" w:line="276" w:lineRule="auto"/>
        <w:outlineLvl w:val="1"/>
        <w:rPr>
          <w:rFonts w:ascii="Cambria" w:eastAsia="Times New Roman" w:hAnsi="Cambria" w:cs="Times New Roman"/>
          <w:b/>
          <w:bCs/>
          <w:sz w:val="32"/>
          <w:szCs w:val="26"/>
        </w:rPr>
      </w:pPr>
      <w:r w:rsidRPr="00167421">
        <w:rPr>
          <w:rFonts w:ascii="Times New Roman" w:hAnsi="Times New Roman" w:cs="Times New Roman"/>
          <w:noProof/>
          <w:sz w:val="24"/>
          <w:szCs w:val="24"/>
        </w:rPr>
        <w:drawing>
          <wp:inline distT="0" distB="0" distL="0" distR="0" wp14:anchorId="6943E38A" wp14:editId="6C7D1CCA">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A4DAA" w:rsidRPr="00E96147" w:rsidRDefault="00EA4DAA" w:rsidP="00EA4DAA">
      <w:pPr>
        <w:ind w:firstLine="720"/>
        <w:rPr>
          <w:rFonts w:cs="Times New Roman"/>
          <w:sz w:val="20"/>
          <w:szCs w:val="20"/>
        </w:rPr>
      </w:pPr>
      <w:r w:rsidRPr="00E96147">
        <w:rPr>
          <w:rFonts w:cs="Times New Roman"/>
          <w:sz w:val="20"/>
          <w:szCs w:val="20"/>
        </w:rPr>
        <w:t>(United States Census Bureau, 2015).</w:t>
      </w:r>
    </w:p>
    <w:p w:rsidR="006825CE" w:rsidRDefault="00EA4DAA" w:rsidP="00067187">
      <w:pPr>
        <w:spacing w:line="276" w:lineRule="auto"/>
        <w:ind w:firstLine="720"/>
        <w:rPr>
          <w:rFonts w:ascii="Times New Roman" w:hAnsi="Times New Roman" w:cs="Times New Roman"/>
          <w:sz w:val="24"/>
          <w:szCs w:val="24"/>
        </w:rPr>
      </w:pPr>
      <w:r>
        <w:rPr>
          <w:rFonts w:ascii="Times New Roman" w:hAnsi="Times New Roman" w:cs="Times New Roman"/>
          <w:sz w:val="24"/>
          <w:szCs w:val="24"/>
        </w:rPr>
        <w:lastRenderedPageBreak/>
        <w:t>As demonstrated in the following graphs, age and gender is disbursed fairly evenly in each county. As a result of the</w:t>
      </w:r>
      <w:r w:rsidRPr="00167421">
        <w:rPr>
          <w:rFonts w:ascii="Times New Roman" w:hAnsi="Times New Roman" w:cs="Times New Roman"/>
          <w:sz w:val="24"/>
          <w:szCs w:val="24"/>
        </w:rPr>
        <w:t xml:space="preserve"> presence of the University of Minnesota located in Morris, Stevens County has a greater proportion of young adults between the ages of 15-19 and 20-24 compared to the five county service area.</w:t>
      </w:r>
    </w:p>
    <w:p w:rsidR="002756E3" w:rsidRDefault="002756E3" w:rsidP="00EA4DAA">
      <w:pPr>
        <w:ind w:firstLine="720"/>
        <w:rPr>
          <w:rFonts w:ascii="Times New Roman" w:hAnsi="Times New Roman" w:cs="Times New Roman"/>
          <w:sz w:val="24"/>
          <w:szCs w:val="24"/>
        </w:rPr>
      </w:pPr>
    </w:p>
    <w:p w:rsidR="006825CE" w:rsidRPr="006825CE" w:rsidRDefault="006825CE" w:rsidP="006825CE">
      <w:pPr>
        <w:spacing w:after="200" w:line="240" w:lineRule="auto"/>
        <w:contextualSpacing/>
        <w:rPr>
          <w:rFonts w:ascii="Times New Roman" w:eastAsia="Calibri" w:hAnsi="Times New Roman" w:cs="Times New Roman"/>
          <w:b/>
          <w:i/>
          <w:sz w:val="24"/>
          <w:szCs w:val="24"/>
        </w:rPr>
      </w:pPr>
      <w:r w:rsidRPr="00803FC4">
        <w:rPr>
          <w:rFonts w:ascii="Times New Roman" w:eastAsia="Calibri" w:hAnsi="Times New Roman" w:cs="Times New Roman"/>
          <w:b/>
          <w:i/>
          <w:sz w:val="24"/>
          <w:szCs w:val="24"/>
        </w:rPr>
        <w:t xml:space="preserve">Population distribution in </w:t>
      </w:r>
      <w:r>
        <w:rPr>
          <w:rFonts w:ascii="Times New Roman" w:eastAsia="Calibri" w:hAnsi="Times New Roman" w:cs="Times New Roman"/>
          <w:b/>
          <w:i/>
          <w:sz w:val="24"/>
          <w:szCs w:val="24"/>
        </w:rPr>
        <w:t xml:space="preserve">Horizon </w:t>
      </w:r>
      <w:r w:rsidR="00187080">
        <w:rPr>
          <w:rFonts w:ascii="Times New Roman" w:eastAsia="Calibri" w:hAnsi="Times New Roman" w:cs="Times New Roman"/>
          <w:b/>
          <w:i/>
          <w:sz w:val="24"/>
          <w:szCs w:val="24"/>
        </w:rPr>
        <w:t>CHB service area</w:t>
      </w:r>
      <w:r>
        <w:rPr>
          <w:rFonts w:ascii="Times New Roman" w:eastAsia="Calibri" w:hAnsi="Times New Roman" w:cs="Times New Roman"/>
          <w:b/>
          <w:i/>
          <w:sz w:val="24"/>
          <w:szCs w:val="24"/>
        </w:rPr>
        <w:t xml:space="preserve"> by age and gender, 2015</w:t>
      </w:r>
    </w:p>
    <w:p w:rsidR="00E33B1E" w:rsidRPr="000941FF" w:rsidRDefault="006825CE" w:rsidP="000941FF">
      <w:pPr>
        <w:ind w:firstLine="720"/>
        <w:rPr>
          <w:rFonts w:ascii="Times New Roman" w:hAnsi="Times New Roman" w:cs="Times New Roman"/>
          <w:sz w:val="24"/>
          <w:szCs w:val="24"/>
        </w:rPr>
      </w:pPr>
      <w:r>
        <w:rPr>
          <w:noProof/>
        </w:rPr>
        <w:drawing>
          <wp:inline distT="0" distB="0" distL="0" distR="0" wp14:anchorId="07ECC3D1" wp14:editId="2120E03A">
            <wp:extent cx="5029200" cy="2419350"/>
            <wp:effectExtent l="0" t="0" r="0" b="0"/>
            <wp:docPr id="50" name="Chart 50"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941FF" w:rsidRDefault="000941FF" w:rsidP="00EA4DAA">
      <w:pPr>
        <w:pStyle w:val="ListParagraph"/>
        <w:spacing w:line="240" w:lineRule="auto"/>
        <w:ind w:left="0"/>
        <w:rPr>
          <w:rFonts w:ascii="Times New Roman" w:hAnsi="Times New Roman"/>
          <w:b/>
          <w:i/>
          <w:sz w:val="24"/>
          <w:szCs w:val="24"/>
        </w:rPr>
      </w:pPr>
    </w:p>
    <w:p w:rsidR="000941FF" w:rsidRDefault="000941FF" w:rsidP="00EA4DAA">
      <w:pPr>
        <w:pStyle w:val="ListParagraph"/>
        <w:spacing w:line="240" w:lineRule="auto"/>
        <w:ind w:left="0"/>
        <w:rPr>
          <w:rFonts w:ascii="Times New Roman" w:hAnsi="Times New Roman"/>
          <w:b/>
          <w:i/>
          <w:sz w:val="24"/>
          <w:szCs w:val="24"/>
        </w:rPr>
      </w:pPr>
    </w:p>
    <w:p w:rsidR="000941FF" w:rsidRDefault="000941FF" w:rsidP="00EA4DAA">
      <w:pPr>
        <w:pStyle w:val="ListParagraph"/>
        <w:spacing w:line="240" w:lineRule="auto"/>
        <w:ind w:left="0"/>
        <w:rPr>
          <w:rFonts w:ascii="Times New Roman" w:hAnsi="Times New Roman"/>
          <w:b/>
          <w:i/>
          <w:sz w:val="24"/>
          <w:szCs w:val="24"/>
        </w:rPr>
      </w:pPr>
    </w:p>
    <w:p w:rsidR="00EA4DAA" w:rsidRPr="00B349DF" w:rsidRDefault="00EA4DAA" w:rsidP="00EA4DAA">
      <w:pPr>
        <w:pStyle w:val="ListParagraph"/>
        <w:spacing w:line="240" w:lineRule="auto"/>
        <w:ind w:left="0"/>
        <w:rPr>
          <w:rFonts w:ascii="Times New Roman" w:hAnsi="Times New Roman"/>
          <w:b/>
          <w:i/>
          <w:sz w:val="24"/>
          <w:szCs w:val="24"/>
        </w:rPr>
      </w:pPr>
      <w:r w:rsidRPr="001B1FE2">
        <w:rPr>
          <w:rFonts w:ascii="Times New Roman" w:hAnsi="Times New Roman"/>
          <w:b/>
          <w:i/>
          <w:sz w:val="24"/>
          <w:szCs w:val="24"/>
        </w:rPr>
        <w:t>Population distribution in Douglas County by age and gender, 2015</w:t>
      </w:r>
    </w:p>
    <w:p w:rsidR="002756E3" w:rsidRDefault="000941FF" w:rsidP="00E33B1E">
      <w:pPr>
        <w:ind w:firstLine="720"/>
        <w:rPr>
          <w:rFonts w:ascii="Times New Roman" w:hAnsi="Times New Roman" w:cs="Times New Roman"/>
          <w:sz w:val="24"/>
          <w:szCs w:val="24"/>
        </w:rPr>
      </w:pPr>
      <w:r>
        <w:rPr>
          <w:noProof/>
        </w:rPr>
        <w:drawing>
          <wp:inline distT="0" distB="0" distL="0" distR="0" wp14:anchorId="4C9BCCA1" wp14:editId="1006282A">
            <wp:extent cx="5153025" cy="2686050"/>
            <wp:effectExtent l="0" t="0" r="0" b="0"/>
            <wp:docPr id="9" name="Chart 9"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3B1E" w:rsidRPr="00E33B1E" w:rsidRDefault="00E33B1E" w:rsidP="00E33B1E">
      <w:pPr>
        <w:ind w:firstLine="720"/>
        <w:rPr>
          <w:rFonts w:ascii="Times New Roman" w:hAnsi="Times New Roman" w:cs="Times New Roman"/>
          <w:sz w:val="24"/>
          <w:szCs w:val="24"/>
        </w:rPr>
      </w:pPr>
    </w:p>
    <w:p w:rsidR="00E33B1E" w:rsidRDefault="00EA4DAA" w:rsidP="002756E3">
      <w:pPr>
        <w:pStyle w:val="ListParagraph"/>
        <w:spacing w:line="240" w:lineRule="auto"/>
        <w:ind w:left="0"/>
        <w:rPr>
          <w:rFonts w:ascii="Times New Roman" w:hAnsi="Times New Roman"/>
          <w:b/>
          <w:i/>
          <w:sz w:val="24"/>
          <w:szCs w:val="24"/>
        </w:rPr>
      </w:pPr>
      <w:r w:rsidRPr="001B1FE2">
        <w:rPr>
          <w:rFonts w:ascii="Times New Roman" w:hAnsi="Times New Roman"/>
          <w:b/>
          <w:i/>
          <w:sz w:val="24"/>
          <w:szCs w:val="24"/>
        </w:rPr>
        <w:lastRenderedPageBreak/>
        <w:t xml:space="preserve">Population distribution in </w:t>
      </w:r>
      <w:r>
        <w:rPr>
          <w:rFonts w:ascii="Times New Roman" w:hAnsi="Times New Roman"/>
          <w:b/>
          <w:i/>
          <w:sz w:val="24"/>
          <w:szCs w:val="24"/>
        </w:rPr>
        <w:t>Grant</w:t>
      </w:r>
      <w:r w:rsidRPr="001B1FE2">
        <w:rPr>
          <w:rFonts w:ascii="Times New Roman" w:hAnsi="Times New Roman"/>
          <w:b/>
          <w:i/>
          <w:sz w:val="24"/>
          <w:szCs w:val="24"/>
        </w:rPr>
        <w:t xml:space="preserve"> County by age and gender, 2015</w:t>
      </w:r>
      <w:r>
        <w:rPr>
          <w:noProof/>
        </w:rPr>
        <w:drawing>
          <wp:inline distT="0" distB="0" distL="0" distR="0" wp14:anchorId="4D1AFBF4" wp14:editId="1F40979C">
            <wp:extent cx="5172075" cy="3326004"/>
            <wp:effectExtent l="0" t="0" r="0" b="0"/>
            <wp:docPr id="11" name="Chart 11"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756E3" w:rsidRDefault="002756E3" w:rsidP="002756E3">
      <w:pPr>
        <w:pStyle w:val="ListParagraph"/>
        <w:spacing w:line="240" w:lineRule="auto"/>
        <w:ind w:left="0"/>
        <w:rPr>
          <w:rFonts w:eastAsia="Times New Roman"/>
          <w:b/>
          <w:bCs/>
          <w:color w:val="44546A" w:themeColor="text2"/>
          <w:sz w:val="32"/>
          <w:szCs w:val="26"/>
        </w:rPr>
      </w:pPr>
    </w:p>
    <w:p w:rsidR="00E33B1E" w:rsidRDefault="00E33B1E" w:rsidP="00803FC4">
      <w:pPr>
        <w:keepNext/>
        <w:keepLines/>
        <w:spacing w:before="200" w:after="0" w:line="276" w:lineRule="auto"/>
        <w:outlineLvl w:val="1"/>
        <w:rPr>
          <w:rFonts w:eastAsia="Times New Roman" w:cs="Times New Roman"/>
          <w:b/>
          <w:bCs/>
          <w:color w:val="44546A" w:themeColor="text2"/>
          <w:sz w:val="32"/>
          <w:szCs w:val="26"/>
        </w:rPr>
      </w:pPr>
    </w:p>
    <w:p w:rsidR="00EA4DAA" w:rsidRPr="00E33B1E" w:rsidRDefault="00EA4DAA" w:rsidP="00E33B1E">
      <w:pPr>
        <w:pStyle w:val="ListParagraph"/>
        <w:spacing w:line="240" w:lineRule="auto"/>
        <w:ind w:left="0"/>
        <w:rPr>
          <w:rFonts w:ascii="Times New Roman" w:hAnsi="Times New Roman"/>
          <w:b/>
          <w:i/>
          <w:sz w:val="24"/>
          <w:szCs w:val="24"/>
        </w:rPr>
      </w:pPr>
      <w:r w:rsidRPr="001B1FE2">
        <w:rPr>
          <w:rFonts w:ascii="Times New Roman" w:hAnsi="Times New Roman"/>
          <w:b/>
          <w:i/>
          <w:sz w:val="24"/>
          <w:szCs w:val="24"/>
        </w:rPr>
        <w:t xml:space="preserve">Population distribution in </w:t>
      </w:r>
      <w:r>
        <w:rPr>
          <w:rFonts w:ascii="Times New Roman" w:hAnsi="Times New Roman"/>
          <w:b/>
          <w:i/>
          <w:sz w:val="24"/>
          <w:szCs w:val="24"/>
        </w:rPr>
        <w:t>Pope</w:t>
      </w:r>
      <w:r w:rsidRPr="001B1FE2">
        <w:rPr>
          <w:rFonts w:ascii="Times New Roman" w:hAnsi="Times New Roman"/>
          <w:b/>
          <w:i/>
          <w:sz w:val="24"/>
          <w:szCs w:val="24"/>
        </w:rPr>
        <w:t xml:space="preserve"> County by age and gender, 2015</w:t>
      </w:r>
    </w:p>
    <w:p w:rsidR="00EA4DAA" w:rsidRDefault="00EA4DAA" w:rsidP="00803FC4">
      <w:pPr>
        <w:keepNext/>
        <w:keepLines/>
        <w:spacing w:before="200" w:after="0" w:line="276" w:lineRule="auto"/>
        <w:outlineLvl w:val="1"/>
        <w:rPr>
          <w:rFonts w:eastAsia="Times New Roman" w:cs="Times New Roman"/>
          <w:b/>
          <w:bCs/>
          <w:color w:val="44546A" w:themeColor="text2"/>
          <w:sz w:val="32"/>
          <w:szCs w:val="26"/>
        </w:rPr>
      </w:pPr>
      <w:r>
        <w:rPr>
          <w:noProof/>
        </w:rPr>
        <w:drawing>
          <wp:inline distT="0" distB="0" distL="0" distR="0" wp14:anchorId="0C04F898" wp14:editId="35C1862F">
            <wp:extent cx="5172075" cy="3267075"/>
            <wp:effectExtent l="0" t="0" r="0" b="0"/>
            <wp:docPr id="12" name="Chart 12"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3B1E" w:rsidRDefault="00E33B1E" w:rsidP="00EA4DAA">
      <w:pPr>
        <w:pStyle w:val="ListParagraph"/>
        <w:spacing w:line="240" w:lineRule="auto"/>
        <w:ind w:left="0"/>
        <w:rPr>
          <w:rFonts w:ascii="Times New Roman" w:hAnsi="Times New Roman"/>
          <w:b/>
          <w:i/>
          <w:sz w:val="24"/>
          <w:szCs w:val="24"/>
        </w:rPr>
      </w:pPr>
    </w:p>
    <w:p w:rsidR="004919D0" w:rsidRDefault="004919D0" w:rsidP="00E33B1E">
      <w:pPr>
        <w:pStyle w:val="ListParagraph"/>
        <w:spacing w:line="240" w:lineRule="auto"/>
        <w:ind w:left="0"/>
        <w:rPr>
          <w:rFonts w:ascii="Times New Roman" w:hAnsi="Times New Roman"/>
          <w:b/>
          <w:i/>
          <w:sz w:val="24"/>
          <w:szCs w:val="24"/>
        </w:rPr>
      </w:pPr>
    </w:p>
    <w:p w:rsidR="00EA4DAA" w:rsidRPr="00E33B1E" w:rsidRDefault="00EA4DAA" w:rsidP="00E33B1E">
      <w:pPr>
        <w:pStyle w:val="ListParagraph"/>
        <w:spacing w:line="240" w:lineRule="auto"/>
        <w:ind w:left="0"/>
        <w:rPr>
          <w:rFonts w:ascii="Times New Roman" w:hAnsi="Times New Roman"/>
          <w:b/>
          <w:i/>
          <w:sz w:val="24"/>
          <w:szCs w:val="24"/>
        </w:rPr>
      </w:pPr>
      <w:r w:rsidRPr="001B1FE2">
        <w:rPr>
          <w:rFonts w:ascii="Times New Roman" w:hAnsi="Times New Roman"/>
          <w:b/>
          <w:i/>
          <w:sz w:val="24"/>
          <w:szCs w:val="24"/>
        </w:rPr>
        <w:lastRenderedPageBreak/>
        <w:t xml:space="preserve">Population distribution in </w:t>
      </w:r>
      <w:r>
        <w:rPr>
          <w:rFonts w:ascii="Times New Roman" w:hAnsi="Times New Roman"/>
          <w:b/>
          <w:i/>
          <w:sz w:val="24"/>
          <w:szCs w:val="24"/>
        </w:rPr>
        <w:t>Stevens</w:t>
      </w:r>
      <w:r w:rsidRPr="001B1FE2">
        <w:rPr>
          <w:rFonts w:ascii="Times New Roman" w:hAnsi="Times New Roman"/>
          <w:b/>
          <w:i/>
          <w:sz w:val="24"/>
          <w:szCs w:val="24"/>
        </w:rPr>
        <w:t xml:space="preserve"> County by age and gender, 2015</w:t>
      </w:r>
    </w:p>
    <w:p w:rsidR="00EA4DAA" w:rsidRDefault="00EA4DAA" w:rsidP="00803FC4">
      <w:pPr>
        <w:keepNext/>
        <w:keepLines/>
        <w:spacing w:before="200" w:after="0" w:line="276" w:lineRule="auto"/>
        <w:outlineLvl w:val="1"/>
        <w:rPr>
          <w:rFonts w:eastAsia="Times New Roman" w:cs="Times New Roman"/>
          <w:b/>
          <w:bCs/>
          <w:color w:val="44546A" w:themeColor="text2"/>
          <w:sz w:val="32"/>
          <w:szCs w:val="26"/>
        </w:rPr>
      </w:pPr>
      <w:r>
        <w:rPr>
          <w:noProof/>
        </w:rPr>
        <w:drawing>
          <wp:inline distT="0" distB="0" distL="0" distR="0" wp14:anchorId="5C457DEF" wp14:editId="70FD10E3">
            <wp:extent cx="5172075" cy="3267075"/>
            <wp:effectExtent l="0" t="0" r="0" b="0"/>
            <wp:docPr id="13" name="Chart 13"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3B1E" w:rsidRDefault="00E33B1E" w:rsidP="00EA4DAA">
      <w:pPr>
        <w:pStyle w:val="ListParagraph"/>
        <w:spacing w:line="240" w:lineRule="auto"/>
        <w:ind w:left="0"/>
        <w:rPr>
          <w:rFonts w:ascii="Times New Roman" w:hAnsi="Times New Roman"/>
          <w:b/>
          <w:i/>
          <w:sz w:val="24"/>
          <w:szCs w:val="24"/>
        </w:rPr>
      </w:pPr>
    </w:p>
    <w:p w:rsidR="00E33B1E" w:rsidRDefault="00E33B1E" w:rsidP="00EA4DAA">
      <w:pPr>
        <w:pStyle w:val="ListParagraph"/>
        <w:spacing w:line="240" w:lineRule="auto"/>
        <w:ind w:left="0"/>
        <w:rPr>
          <w:rFonts w:ascii="Times New Roman" w:hAnsi="Times New Roman"/>
          <w:b/>
          <w:i/>
          <w:sz w:val="24"/>
          <w:szCs w:val="24"/>
        </w:rPr>
      </w:pPr>
    </w:p>
    <w:p w:rsidR="00E33B1E" w:rsidRDefault="00E33B1E" w:rsidP="00EA4DAA">
      <w:pPr>
        <w:pStyle w:val="ListParagraph"/>
        <w:spacing w:line="240" w:lineRule="auto"/>
        <w:ind w:left="0"/>
        <w:rPr>
          <w:rFonts w:ascii="Times New Roman" w:hAnsi="Times New Roman"/>
          <w:b/>
          <w:i/>
          <w:sz w:val="24"/>
          <w:szCs w:val="24"/>
        </w:rPr>
      </w:pPr>
    </w:p>
    <w:p w:rsidR="00E33B1E" w:rsidRDefault="00E33B1E" w:rsidP="00EA4DAA">
      <w:pPr>
        <w:pStyle w:val="ListParagraph"/>
        <w:spacing w:line="240" w:lineRule="auto"/>
        <w:ind w:left="0"/>
        <w:rPr>
          <w:rFonts w:ascii="Times New Roman" w:hAnsi="Times New Roman"/>
          <w:b/>
          <w:i/>
          <w:sz w:val="24"/>
          <w:szCs w:val="24"/>
        </w:rPr>
      </w:pPr>
    </w:p>
    <w:p w:rsidR="00EA4DAA" w:rsidRPr="00B349DF" w:rsidRDefault="00EA4DAA" w:rsidP="00EA4DAA">
      <w:pPr>
        <w:pStyle w:val="ListParagraph"/>
        <w:spacing w:line="240" w:lineRule="auto"/>
        <w:ind w:left="0"/>
        <w:rPr>
          <w:rFonts w:ascii="Times New Roman" w:hAnsi="Times New Roman"/>
          <w:b/>
          <w:i/>
          <w:sz w:val="24"/>
          <w:szCs w:val="24"/>
        </w:rPr>
      </w:pPr>
      <w:r w:rsidRPr="001B1FE2">
        <w:rPr>
          <w:rFonts w:ascii="Times New Roman" w:hAnsi="Times New Roman"/>
          <w:b/>
          <w:i/>
          <w:sz w:val="24"/>
          <w:szCs w:val="24"/>
        </w:rPr>
        <w:t xml:space="preserve">Population distribution in </w:t>
      </w:r>
      <w:r>
        <w:rPr>
          <w:rFonts w:ascii="Times New Roman" w:hAnsi="Times New Roman"/>
          <w:b/>
          <w:i/>
          <w:sz w:val="24"/>
          <w:szCs w:val="24"/>
        </w:rPr>
        <w:t>Traverse</w:t>
      </w:r>
      <w:r w:rsidRPr="001B1FE2">
        <w:rPr>
          <w:rFonts w:ascii="Times New Roman" w:hAnsi="Times New Roman"/>
          <w:b/>
          <w:i/>
          <w:sz w:val="24"/>
          <w:szCs w:val="24"/>
        </w:rPr>
        <w:t xml:space="preserve"> County by age and gender, 2015</w:t>
      </w:r>
    </w:p>
    <w:p w:rsidR="00EA4DAA" w:rsidRDefault="00EA4DAA" w:rsidP="00803FC4">
      <w:pPr>
        <w:keepNext/>
        <w:keepLines/>
        <w:spacing w:before="200" w:after="0" w:line="276" w:lineRule="auto"/>
        <w:outlineLvl w:val="1"/>
        <w:rPr>
          <w:rFonts w:eastAsia="Times New Roman" w:cs="Times New Roman"/>
          <w:b/>
          <w:bCs/>
          <w:color w:val="44546A" w:themeColor="text2"/>
          <w:sz w:val="32"/>
          <w:szCs w:val="26"/>
        </w:rPr>
      </w:pPr>
      <w:r>
        <w:rPr>
          <w:noProof/>
        </w:rPr>
        <w:drawing>
          <wp:inline distT="0" distB="0" distL="0" distR="0" wp14:anchorId="377DD737" wp14:editId="71B63178">
            <wp:extent cx="5172075" cy="3267075"/>
            <wp:effectExtent l="0" t="0" r="0" b="0"/>
            <wp:docPr id="14" name="Chart 14" descr="this graphs displays the population by age group and sex for the selected county or community health board. " title="Populaton by Age Group and Sex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4DAA" w:rsidRPr="00E33B1E" w:rsidRDefault="00E33B1E" w:rsidP="00EA4DAA">
      <w:pPr>
        <w:ind w:firstLine="720"/>
        <w:rPr>
          <w:rFonts w:cs="Times New Roman"/>
          <w:sz w:val="20"/>
          <w:szCs w:val="20"/>
        </w:rPr>
      </w:pPr>
      <w:r w:rsidRPr="00E33B1E">
        <w:rPr>
          <w:rFonts w:cs="Times New Roman"/>
          <w:sz w:val="20"/>
          <w:szCs w:val="20"/>
        </w:rPr>
        <w:t>Source: U.S. Census Bureau, 2015.</w:t>
      </w:r>
    </w:p>
    <w:p w:rsidR="002756E3" w:rsidRPr="00B50386" w:rsidRDefault="002756E3" w:rsidP="002756E3">
      <w:pPr>
        <w:keepNext/>
        <w:keepLines/>
        <w:spacing w:before="200" w:after="0" w:line="276" w:lineRule="auto"/>
        <w:outlineLvl w:val="1"/>
        <w:rPr>
          <w:rFonts w:ascii="Cambria" w:eastAsia="Times New Roman" w:hAnsi="Cambria" w:cs="Times New Roman"/>
          <w:b/>
          <w:bCs/>
          <w:sz w:val="36"/>
          <w:szCs w:val="36"/>
        </w:rPr>
      </w:pPr>
      <w:r w:rsidRPr="00B50386">
        <w:rPr>
          <w:rFonts w:ascii="Cambria" w:eastAsia="Times New Roman" w:hAnsi="Cambria" w:cs="Times New Roman"/>
          <w:b/>
          <w:bCs/>
          <w:sz w:val="36"/>
          <w:szCs w:val="36"/>
        </w:rPr>
        <w:lastRenderedPageBreak/>
        <w:t>Immigration and Growing Diversity</w:t>
      </w:r>
    </w:p>
    <w:p w:rsidR="002756E3" w:rsidRPr="00C808EA" w:rsidRDefault="002756E3" w:rsidP="00C808EA">
      <w:pPr>
        <w:spacing w:after="200" w:line="276" w:lineRule="auto"/>
        <w:rPr>
          <w:rFonts w:eastAsiaTheme="minorEastAsia" w:cs="Times New Roman"/>
          <w:sz w:val="24"/>
        </w:rPr>
      </w:pPr>
      <w:r w:rsidRPr="004916ED">
        <w:rPr>
          <w:rFonts w:eastAsia="Calibri" w:cs="Times New Roman"/>
          <w:sz w:val="24"/>
        </w:rPr>
        <w:t xml:space="preserve">While Minnesota is still far from the most diverse state in the United States, recent trends indicate this may be changing.  </w:t>
      </w:r>
      <w:r w:rsidRPr="004916ED">
        <w:rPr>
          <w:rFonts w:eastAsiaTheme="minorEastAsia" w:cs="Times New Roman"/>
          <w:sz w:val="24"/>
        </w:rPr>
        <w:t xml:space="preserve">In Minnesota, there is greater than 80% of the population that is comprised of a non-Hispanic white population. However, between years 2000 to 2014, the non-Hispanic white population grew by only 2% (107,000 people) and all other populations of color grew by 74% (430,700 people). </w:t>
      </w:r>
      <w:r w:rsidR="00C808EA">
        <w:rPr>
          <w:rStyle w:val="EndnoteReference"/>
          <w:rFonts w:eastAsiaTheme="minorEastAsia" w:cs="Times New Roman"/>
          <w:sz w:val="24"/>
        </w:rPr>
        <w:endnoteReference w:id="3"/>
      </w:r>
    </w:p>
    <w:p w:rsidR="002756E3" w:rsidRPr="00C75DA8" w:rsidRDefault="002756E3" w:rsidP="002756E3">
      <w:pPr>
        <w:spacing w:after="200" w:line="276" w:lineRule="auto"/>
        <w:rPr>
          <w:rFonts w:eastAsia="Calibri" w:cs="Times New Roman"/>
          <w:sz w:val="24"/>
        </w:rPr>
      </w:pPr>
      <w:r w:rsidRPr="00C75DA8">
        <w:rPr>
          <w:rFonts w:eastAsia="Calibri" w:cs="Times New Roman"/>
          <w:sz w:val="24"/>
        </w:rPr>
        <w:t>Shown below is a table that lists the populations of certain ethnicities as a proportion of Minnesota’s and the five county area’s total population (County Health Rankings, 2015).</w:t>
      </w:r>
    </w:p>
    <w:p w:rsidR="002756E3" w:rsidRDefault="002756E3" w:rsidP="002756E3">
      <w:pPr>
        <w:spacing w:after="200" w:line="276" w:lineRule="auto"/>
        <w:rPr>
          <w:rFonts w:eastAsia="Calibri" w:cs="Times New Roman"/>
          <w:sz w:val="24"/>
        </w:rPr>
      </w:pPr>
      <w:r w:rsidRPr="00803FC4">
        <w:rPr>
          <w:rFonts w:eastAsia="Calibri" w:cs="Times New Roman"/>
          <w:sz w:val="24"/>
          <w:szCs w:val="24"/>
        </w:rPr>
        <w:t xml:space="preserve">Minnesota has 81.4% of its population classified as White, and the five counties all have over 90% of their populations classified as White. </w:t>
      </w:r>
      <w:r w:rsidRPr="00803FC4">
        <w:rPr>
          <w:rFonts w:eastAsia="Calibri" w:cs="Times New Roman"/>
          <w:sz w:val="24"/>
        </w:rPr>
        <w:t>Stevens County has the highest percentage of Black or African Americans, Asian, Hispanic or Latino Origin, and Native Hawaiian and Other Pacific Islander population compared to the other four counties within the Horizon Community Health Board Region.  Traverse County, however, has the highest percentage of American Indian or Alaskan Native residents.</w:t>
      </w:r>
    </w:p>
    <w:p w:rsidR="00C808EA" w:rsidRDefault="00C808EA" w:rsidP="002756E3">
      <w:pPr>
        <w:spacing w:after="200" w:line="276" w:lineRule="auto"/>
        <w:rPr>
          <w:rFonts w:eastAsia="Calibri" w:cs="Times New Roman"/>
          <w:sz w:val="24"/>
        </w:rPr>
      </w:pPr>
    </w:p>
    <w:p w:rsidR="00C808EA" w:rsidRPr="00C75DA8" w:rsidRDefault="00C808EA" w:rsidP="002756E3">
      <w:pPr>
        <w:spacing w:after="200" w:line="276" w:lineRule="auto"/>
        <w:rPr>
          <w:rFonts w:eastAsia="Calibri" w:cs="Times New Roman"/>
          <w:sz w:val="24"/>
        </w:rPr>
      </w:pPr>
    </w:p>
    <w:tbl>
      <w:tblPr>
        <w:tblW w:w="10107" w:type="dxa"/>
        <w:tblInd w:w="-252" w:type="dxa"/>
        <w:tblLook w:val="04A0" w:firstRow="1" w:lastRow="0" w:firstColumn="1" w:lastColumn="0" w:noHBand="0" w:noVBand="1"/>
      </w:tblPr>
      <w:tblGrid>
        <w:gridCol w:w="4500"/>
        <w:gridCol w:w="1201"/>
        <w:gridCol w:w="946"/>
        <w:gridCol w:w="764"/>
        <w:gridCol w:w="764"/>
        <w:gridCol w:w="928"/>
        <w:gridCol w:w="1004"/>
      </w:tblGrid>
      <w:tr w:rsidR="007A35FE" w:rsidRPr="00803FC4" w:rsidTr="003B3F87">
        <w:trPr>
          <w:trHeight w:val="330"/>
        </w:trPr>
        <w:tc>
          <w:tcPr>
            <w:tcW w:w="4500" w:type="dxa"/>
            <w:tcBorders>
              <w:top w:val="single" w:sz="8" w:space="0" w:color="auto"/>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rPr>
                <w:rFonts w:eastAsia="Times New Roman" w:cs="Times New Roman"/>
                <w:color w:val="000000"/>
              </w:rPr>
            </w:pPr>
            <w:r w:rsidRPr="00803FC4">
              <w:rPr>
                <w:rFonts w:eastAsia="Times New Roman" w:cs="Times New Roman"/>
                <w:color w:val="000000"/>
              </w:rPr>
              <w:t> </w:t>
            </w:r>
          </w:p>
        </w:tc>
        <w:tc>
          <w:tcPr>
            <w:tcW w:w="1201" w:type="dxa"/>
            <w:tcBorders>
              <w:top w:val="single" w:sz="8" w:space="0" w:color="auto"/>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Minnesota</w:t>
            </w:r>
          </w:p>
        </w:tc>
        <w:tc>
          <w:tcPr>
            <w:tcW w:w="946" w:type="dxa"/>
            <w:tcBorders>
              <w:top w:val="single" w:sz="8" w:space="0" w:color="auto"/>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Douglas</w:t>
            </w:r>
          </w:p>
        </w:tc>
        <w:tc>
          <w:tcPr>
            <w:tcW w:w="764" w:type="dxa"/>
            <w:tcBorders>
              <w:top w:val="single" w:sz="8" w:space="0" w:color="auto"/>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Grant</w:t>
            </w:r>
          </w:p>
        </w:tc>
        <w:tc>
          <w:tcPr>
            <w:tcW w:w="764" w:type="dxa"/>
            <w:tcBorders>
              <w:top w:val="single" w:sz="8" w:space="0" w:color="auto"/>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Pope</w:t>
            </w:r>
          </w:p>
        </w:tc>
        <w:tc>
          <w:tcPr>
            <w:tcW w:w="928" w:type="dxa"/>
            <w:tcBorders>
              <w:top w:val="single" w:sz="8" w:space="0" w:color="auto"/>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Stevens</w:t>
            </w:r>
          </w:p>
        </w:tc>
        <w:tc>
          <w:tcPr>
            <w:tcW w:w="1004" w:type="dxa"/>
            <w:tcBorders>
              <w:top w:val="single" w:sz="8" w:space="0" w:color="auto"/>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b/>
                <w:bCs/>
                <w:color w:val="000000"/>
              </w:rPr>
            </w:pPr>
            <w:r w:rsidRPr="00803FC4">
              <w:rPr>
                <w:rFonts w:eastAsia="Times New Roman" w:cs="Times New Roman"/>
                <w:b/>
                <w:bCs/>
                <w:color w:val="000000"/>
              </w:rPr>
              <w:t>Traverse</w:t>
            </w:r>
          </w:p>
        </w:tc>
      </w:tr>
      <w:tr w:rsidR="007A35FE" w:rsidRPr="00803FC4" w:rsidTr="003B3F87">
        <w:trPr>
          <w:trHeight w:val="315"/>
        </w:trPr>
        <w:tc>
          <w:tcPr>
            <w:tcW w:w="4500"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White </w:t>
            </w:r>
          </w:p>
        </w:tc>
        <w:tc>
          <w:tcPr>
            <w:tcW w:w="1201" w:type="dxa"/>
            <w:tcBorders>
              <w:top w:val="single" w:sz="4" w:space="0" w:color="auto"/>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81.4%</w:t>
            </w:r>
          </w:p>
        </w:tc>
        <w:tc>
          <w:tcPr>
            <w:tcW w:w="946"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98.8%</w:t>
            </w:r>
          </w:p>
        </w:tc>
        <w:tc>
          <w:tcPr>
            <w:tcW w:w="764" w:type="dxa"/>
            <w:tcBorders>
              <w:top w:val="single" w:sz="4" w:space="0" w:color="auto"/>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98.8%</w:t>
            </w:r>
          </w:p>
        </w:tc>
        <w:tc>
          <w:tcPr>
            <w:tcW w:w="76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98.2%</w:t>
            </w:r>
          </w:p>
        </w:tc>
        <w:tc>
          <w:tcPr>
            <w:tcW w:w="928" w:type="dxa"/>
            <w:tcBorders>
              <w:top w:val="single" w:sz="4" w:space="0" w:color="auto"/>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95.0%</w:t>
            </w:r>
          </w:p>
        </w:tc>
        <w:tc>
          <w:tcPr>
            <w:tcW w:w="100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94.8 %</w:t>
            </w:r>
          </w:p>
        </w:tc>
      </w:tr>
      <w:tr w:rsidR="007A35FE" w:rsidRPr="00803FC4" w:rsidTr="003B3F87">
        <w:trPr>
          <w:trHeight w:val="315"/>
        </w:trPr>
        <w:tc>
          <w:tcPr>
            <w:tcW w:w="4500"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Black or African American </w:t>
            </w:r>
          </w:p>
        </w:tc>
        <w:tc>
          <w:tcPr>
            <w:tcW w:w="1201"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5.7%</w:t>
            </w:r>
          </w:p>
        </w:tc>
        <w:tc>
          <w:tcPr>
            <w:tcW w:w="946"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0.9%</w:t>
            </w:r>
          </w:p>
        </w:tc>
        <w:tc>
          <w:tcPr>
            <w:tcW w:w="764"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0.2%</w:t>
            </w:r>
          </w:p>
        </w:tc>
        <w:tc>
          <w:tcPr>
            <w:tcW w:w="76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0.8%</w:t>
            </w:r>
          </w:p>
        </w:tc>
        <w:tc>
          <w:tcPr>
            <w:tcW w:w="928"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1.3%</w:t>
            </w:r>
          </w:p>
        </w:tc>
        <w:tc>
          <w:tcPr>
            <w:tcW w:w="100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1.0%</w:t>
            </w:r>
          </w:p>
        </w:tc>
      </w:tr>
      <w:tr w:rsidR="007A35FE" w:rsidRPr="00803FC4" w:rsidTr="003B3F87">
        <w:trPr>
          <w:trHeight w:val="315"/>
        </w:trPr>
        <w:tc>
          <w:tcPr>
            <w:tcW w:w="4500"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American Indian or Alaskan Native </w:t>
            </w:r>
          </w:p>
        </w:tc>
        <w:tc>
          <w:tcPr>
            <w:tcW w:w="1201"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1.3%</w:t>
            </w:r>
          </w:p>
        </w:tc>
        <w:tc>
          <w:tcPr>
            <w:tcW w:w="946"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0.6%</w:t>
            </w:r>
          </w:p>
        </w:tc>
        <w:tc>
          <w:tcPr>
            <w:tcW w:w="764"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1.3%</w:t>
            </w:r>
          </w:p>
        </w:tc>
        <w:tc>
          <w:tcPr>
            <w:tcW w:w="764"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0.6%</w:t>
            </w:r>
          </w:p>
        </w:tc>
        <w:tc>
          <w:tcPr>
            <w:tcW w:w="928"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2.3%</w:t>
            </w:r>
          </w:p>
        </w:tc>
        <w:tc>
          <w:tcPr>
            <w:tcW w:w="1004"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6.1%</w:t>
            </w:r>
          </w:p>
        </w:tc>
      </w:tr>
      <w:tr w:rsidR="007A35FE" w:rsidRPr="00803FC4" w:rsidTr="003B3F87">
        <w:trPr>
          <w:trHeight w:val="315"/>
        </w:trPr>
        <w:tc>
          <w:tcPr>
            <w:tcW w:w="4500"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Asian </w:t>
            </w:r>
          </w:p>
        </w:tc>
        <w:tc>
          <w:tcPr>
            <w:tcW w:w="1201"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4.7%</w:t>
            </w:r>
          </w:p>
        </w:tc>
        <w:tc>
          <w:tcPr>
            <w:tcW w:w="946"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0.7%</w:t>
            </w:r>
          </w:p>
        </w:tc>
        <w:tc>
          <w:tcPr>
            <w:tcW w:w="764"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0.5%</w:t>
            </w:r>
          </w:p>
        </w:tc>
        <w:tc>
          <w:tcPr>
            <w:tcW w:w="76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0.6%</w:t>
            </w:r>
          </w:p>
        </w:tc>
        <w:tc>
          <w:tcPr>
            <w:tcW w:w="928" w:type="dxa"/>
            <w:tcBorders>
              <w:top w:val="nil"/>
              <w:left w:val="nil"/>
              <w:bottom w:val="single" w:sz="4"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2.2%</w:t>
            </w:r>
          </w:p>
        </w:tc>
        <w:tc>
          <w:tcPr>
            <w:tcW w:w="1004" w:type="dxa"/>
            <w:tcBorders>
              <w:top w:val="nil"/>
              <w:left w:val="single" w:sz="8" w:space="0" w:color="auto"/>
              <w:bottom w:val="single" w:sz="4"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0.5%</w:t>
            </w:r>
          </w:p>
        </w:tc>
      </w:tr>
      <w:tr w:rsidR="007A35FE" w:rsidRPr="00803FC4" w:rsidTr="003B3F87">
        <w:trPr>
          <w:trHeight w:val="315"/>
        </w:trPr>
        <w:tc>
          <w:tcPr>
            <w:tcW w:w="4500"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Hispanic or Latino Origin </w:t>
            </w:r>
          </w:p>
        </w:tc>
        <w:tc>
          <w:tcPr>
            <w:tcW w:w="1201"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5.1%</w:t>
            </w:r>
          </w:p>
        </w:tc>
        <w:tc>
          <w:tcPr>
            <w:tcW w:w="946"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1.3%</w:t>
            </w:r>
          </w:p>
        </w:tc>
        <w:tc>
          <w:tcPr>
            <w:tcW w:w="764"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1.8%</w:t>
            </w:r>
          </w:p>
        </w:tc>
        <w:tc>
          <w:tcPr>
            <w:tcW w:w="764"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1.1%</w:t>
            </w:r>
          </w:p>
        </w:tc>
        <w:tc>
          <w:tcPr>
            <w:tcW w:w="928" w:type="dxa"/>
            <w:tcBorders>
              <w:top w:val="nil"/>
              <w:left w:val="nil"/>
              <w:bottom w:val="single" w:sz="4" w:space="0" w:color="auto"/>
              <w:right w:val="nil"/>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4.1%</w:t>
            </w:r>
          </w:p>
        </w:tc>
        <w:tc>
          <w:tcPr>
            <w:tcW w:w="1004" w:type="dxa"/>
            <w:tcBorders>
              <w:top w:val="nil"/>
              <w:left w:val="single" w:sz="8" w:space="0" w:color="auto"/>
              <w:bottom w:val="single" w:sz="4" w:space="0" w:color="auto"/>
              <w:right w:val="single" w:sz="8" w:space="0" w:color="auto"/>
            </w:tcBorders>
            <w:shd w:val="clear" w:color="auto" w:fill="D8E4BC"/>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2.0%</w:t>
            </w:r>
          </w:p>
        </w:tc>
      </w:tr>
      <w:tr w:rsidR="007A35FE" w:rsidRPr="00803FC4" w:rsidTr="003B3F87">
        <w:trPr>
          <w:trHeight w:val="330"/>
        </w:trPr>
        <w:tc>
          <w:tcPr>
            <w:tcW w:w="4500" w:type="dxa"/>
            <w:tcBorders>
              <w:top w:val="nil"/>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rPr>
                <w:rFonts w:eastAsia="Times New Roman" w:cs="Times New Roman"/>
                <w:b/>
                <w:bCs/>
                <w:color w:val="000000"/>
              </w:rPr>
            </w:pPr>
            <w:r w:rsidRPr="00803FC4">
              <w:rPr>
                <w:rFonts w:eastAsia="Times New Roman" w:cs="Times New Roman"/>
                <w:b/>
                <w:bCs/>
                <w:color w:val="000000"/>
              </w:rPr>
              <w:t xml:space="preserve">Native Hawaiian and Other Pacific Islander </w:t>
            </w:r>
          </w:p>
        </w:tc>
        <w:tc>
          <w:tcPr>
            <w:tcW w:w="1201" w:type="dxa"/>
            <w:tcBorders>
              <w:top w:val="nil"/>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0.1%</w:t>
            </w:r>
          </w:p>
        </w:tc>
        <w:tc>
          <w:tcPr>
            <w:tcW w:w="946" w:type="dxa"/>
            <w:tcBorders>
              <w:top w:val="nil"/>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w:t>
            </w:r>
          </w:p>
        </w:tc>
        <w:tc>
          <w:tcPr>
            <w:tcW w:w="764" w:type="dxa"/>
            <w:tcBorders>
              <w:top w:val="nil"/>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w:t>
            </w:r>
          </w:p>
        </w:tc>
        <w:tc>
          <w:tcPr>
            <w:tcW w:w="764" w:type="dxa"/>
            <w:tcBorders>
              <w:top w:val="nil"/>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w:t>
            </w:r>
          </w:p>
        </w:tc>
        <w:tc>
          <w:tcPr>
            <w:tcW w:w="928" w:type="dxa"/>
            <w:tcBorders>
              <w:top w:val="nil"/>
              <w:left w:val="nil"/>
              <w:bottom w:val="single" w:sz="8" w:space="0" w:color="auto"/>
              <w:right w:val="nil"/>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0.2%</w:t>
            </w:r>
          </w:p>
        </w:tc>
        <w:tc>
          <w:tcPr>
            <w:tcW w:w="1004" w:type="dxa"/>
            <w:tcBorders>
              <w:top w:val="nil"/>
              <w:left w:val="single" w:sz="8" w:space="0" w:color="auto"/>
              <w:bottom w:val="single" w:sz="8" w:space="0" w:color="auto"/>
              <w:right w:val="single" w:sz="8" w:space="0" w:color="auto"/>
            </w:tcBorders>
            <w:noWrap/>
            <w:vAlign w:val="bottom"/>
            <w:hideMark/>
          </w:tcPr>
          <w:p w:rsidR="007A35FE" w:rsidRPr="00803FC4" w:rsidRDefault="007A35FE" w:rsidP="003B3F87">
            <w:pPr>
              <w:spacing w:after="0" w:line="240" w:lineRule="auto"/>
              <w:jc w:val="right"/>
              <w:rPr>
                <w:rFonts w:eastAsia="Times New Roman" w:cs="Times New Roman"/>
                <w:color w:val="000000"/>
              </w:rPr>
            </w:pPr>
            <w:r w:rsidRPr="00803FC4">
              <w:rPr>
                <w:rFonts w:eastAsia="Times New Roman" w:cs="Times New Roman"/>
                <w:color w:val="000000"/>
              </w:rPr>
              <w:t>0%</w:t>
            </w:r>
          </w:p>
        </w:tc>
      </w:tr>
    </w:tbl>
    <w:p w:rsidR="00803FC4" w:rsidRPr="00C75DA8" w:rsidRDefault="00803FC4" w:rsidP="00803FC4">
      <w:pPr>
        <w:spacing w:after="200" w:line="276" w:lineRule="auto"/>
        <w:rPr>
          <w:rFonts w:eastAsia="Calibri" w:cs="Times New Roman"/>
        </w:rPr>
      </w:pPr>
    </w:p>
    <w:p w:rsidR="00EA4DAA" w:rsidRDefault="00803FC4" w:rsidP="00803FC4">
      <w:pPr>
        <w:spacing w:after="200" w:line="276" w:lineRule="auto"/>
        <w:rPr>
          <w:rFonts w:eastAsia="Calibri" w:cs="Times New Roman"/>
          <w:sz w:val="24"/>
          <w:szCs w:val="24"/>
        </w:rPr>
      </w:pPr>
      <w:r w:rsidRPr="00C75DA8">
        <w:rPr>
          <w:rFonts w:eastAsia="Calibri" w:cs="Times New Roman"/>
          <w:sz w:val="24"/>
          <w:szCs w:val="24"/>
        </w:rPr>
        <w:t>Some of the largest demographic change</w:t>
      </w:r>
      <w:r w:rsidR="007A35FE" w:rsidRPr="00C75DA8">
        <w:rPr>
          <w:rFonts w:eastAsia="Calibri" w:cs="Times New Roman"/>
          <w:sz w:val="24"/>
          <w:szCs w:val="24"/>
        </w:rPr>
        <w:t>s</w:t>
      </w:r>
      <w:r w:rsidRPr="00C75DA8">
        <w:rPr>
          <w:rFonts w:eastAsia="Calibri" w:cs="Times New Roman"/>
          <w:sz w:val="24"/>
          <w:szCs w:val="24"/>
        </w:rPr>
        <w:t xml:space="preserve"> seen in the Horizon region </w:t>
      </w:r>
      <w:r w:rsidR="004F6A9E" w:rsidRPr="00C75DA8">
        <w:rPr>
          <w:rFonts w:eastAsia="Calibri" w:cs="Times New Roman"/>
          <w:sz w:val="24"/>
          <w:szCs w:val="24"/>
        </w:rPr>
        <w:t>are</w:t>
      </w:r>
      <w:r w:rsidRPr="00C75DA8">
        <w:rPr>
          <w:rFonts w:eastAsia="Calibri" w:cs="Times New Roman"/>
          <w:sz w:val="24"/>
          <w:szCs w:val="24"/>
        </w:rPr>
        <w:t xml:space="preserve"> the influx of Hispanic and </w:t>
      </w:r>
      <w:r w:rsidR="007A35FE" w:rsidRPr="00C75DA8">
        <w:rPr>
          <w:rFonts w:eastAsia="Calibri" w:cs="Times New Roman"/>
          <w:sz w:val="24"/>
          <w:szCs w:val="24"/>
        </w:rPr>
        <w:t>Latino populations within each c</w:t>
      </w:r>
      <w:r w:rsidRPr="00C75DA8">
        <w:rPr>
          <w:rFonts w:eastAsia="Calibri" w:cs="Times New Roman"/>
          <w:sz w:val="24"/>
          <w:szCs w:val="24"/>
        </w:rPr>
        <w:t xml:space="preserve">ounty. </w:t>
      </w:r>
      <w:r w:rsidR="007A35FE" w:rsidRPr="00C75DA8">
        <w:rPr>
          <w:rFonts w:eastAsia="Calibri" w:cs="Times New Roman"/>
          <w:sz w:val="24"/>
          <w:szCs w:val="24"/>
        </w:rPr>
        <w:t xml:space="preserve"> This is increasing the diversity as people are immigrating to </w:t>
      </w:r>
      <w:r w:rsidR="002756E3">
        <w:rPr>
          <w:rFonts w:eastAsia="Calibri" w:cs="Times New Roman"/>
          <w:sz w:val="24"/>
          <w:szCs w:val="24"/>
        </w:rPr>
        <w:t>West Central MN to work within labor industries in the 5-county area or joining family members who previously immigrated</w:t>
      </w:r>
      <w:r w:rsidR="007A35FE" w:rsidRPr="00C75DA8">
        <w:rPr>
          <w:rFonts w:eastAsia="Calibri" w:cs="Times New Roman"/>
          <w:sz w:val="24"/>
          <w:szCs w:val="24"/>
        </w:rPr>
        <w:t>,</w:t>
      </w:r>
      <w:r w:rsidR="002756E3">
        <w:rPr>
          <w:rFonts w:eastAsia="Calibri" w:cs="Times New Roman"/>
          <w:sz w:val="24"/>
          <w:szCs w:val="24"/>
        </w:rPr>
        <w:t xml:space="preserve"> while others are moving to </w:t>
      </w:r>
      <w:r w:rsidR="00FE29DC">
        <w:rPr>
          <w:rFonts w:eastAsia="Calibri" w:cs="Times New Roman"/>
          <w:sz w:val="24"/>
          <w:szCs w:val="24"/>
        </w:rPr>
        <w:t xml:space="preserve">West Central MN to </w:t>
      </w:r>
      <w:r w:rsidR="007A35FE" w:rsidRPr="00C75DA8">
        <w:rPr>
          <w:rFonts w:eastAsia="Calibri" w:cs="Times New Roman"/>
          <w:sz w:val="24"/>
          <w:szCs w:val="24"/>
        </w:rPr>
        <w:t>attend school.</w:t>
      </w:r>
    </w:p>
    <w:p w:rsidR="00803FC4" w:rsidRPr="00C75DA8" w:rsidRDefault="00EA4DAA" w:rsidP="00803FC4">
      <w:pPr>
        <w:spacing w:after="200" w:line="276" w:lineRule="auto"/>
        <w:rPr>
          <w:rFonts w:eastAsia="Calibri" w:cs="Times New Roman"/>
          <w:sz w:val="24"/>
          <w:szCs w:val="24"/>
        </w:rPr>
      </w:pPr>
      <w:r>
        <w:rPr>
          <w:rFonts w:eastAsia="Calibri" w:cs="Times New Roman"/>
          <w:sz w:val="24"/>
          <w:szCs w:val="24"/>
        </w:rPr>
        <w:t>Additionally b</w:t>
      </w:r>
      <w:r w:rsidR="00803FC4" w:rsidRPr="00C75DA8">
        <w:rPr>
          <w:rFonts w:eastAsia="Calibri" w:cs="Times New Roman"/>
          <w:sz w:val="24"/>
          <w:szCs w:val="24"/>
        </w:rPr>
        <w:t>elow is a table and chart showing these changes since 1990. Even though Douglas County has the largest number of Hispanic and Latino residents, Stevens County has, by far, the highest percentage out of the total population.</w:t>
      </w:r>
    </w:p>
    <w:p w:rsidR="00803FC4" w:rsidRPr="00C75DA8" w:rsidRDefault="00803FC4" w:rsidP="00C75DA8">
      <w:pPr>
        <w:spacing w:after="200" w:line="276" w:lineRule="auto"/>
        <w:rPr>
          <w:rFonts w:ascii="Calibri" w:eastAsia="Calibri" w:hAnsi="Calibri" w:cs="Times New Roman"/>
          <w:sz w:val="24"/>
          <w:szCs w:val="24"/>
        </w:rPr>
      </w:pPr>
      <w:r w:rsidRPr="00803FC4">
        <w:rPr>
          <w:rFonts w:ascii="Calibri" w:eastAsia="Calibri" w:hAnsi="Calibri" w:cs="Times New Roman"/>
          <w:noProof/>
        </w:rPr>
        <w:lastRenderedPageBreak/>
        <w:drawing>
          <wp:inline distT="0" distB="0" distL="0" distR="0" wp14:anchorId="7594B649" wp14:editId="65220BB9">
            <wp:extent cx="6248400" cy="2752725"/>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728F5" w:rsidRDefault="00E728F5" w:rsidP="00803FC4">
      <w:pPr>
        <w:keepNext/>
        <w:keepLines/>
        <w:spacing w:before="200" w:after="0" w:line="276" w:lineRule="auto"/>
        <w:outlineLvl w:val="1"/>
        <w:rPr>
          <w:rFonts w:ascii="Cambria" w:eastAsia="Times New Roman" w:hAnsi="Cambria" w:cs="Times New Roman"/>
          <w:b/>
          <w:bCs/>
          <w:sz w:val="32"/>
          <w:szCs w:val="26"/>
        </w:rPr>
      </w:pPr>
    </w:p>
    <w:p w:rsidR="004919D0" w:rsidRPr="003918DC" w:rsidRDefault="007275AA" w:rsidP="002345F3">
      <w:pPr>
        <w:pStyle w:val="ListParagraph"/>
        <w:ind w:left="0"/>
        <w:rPr>
          <w:rFonts w:asciiTheme="minorHAnsi" w:hAnsiTheme="minorHAnsi"/>
          <w:sz w:val="24"/>
          <w:szCs w:val="24"/>
        </w:rPr>
      </w:pPr>
      <w:r>
        <w:rPr>
          <w:rFonts w:asciiTheme="minorHAnsi" w:hAnsiTheme="minorHAnsi"/>
          <w:sz w:val="24"/>
          <w:szCs w:val="24"/>
        </w:rPr>
        <w:t>While t</w:t>
      </w:r>
      <w:r w:rsidR="00E728F5" w:rsidRPr="003918DC">
        <w:rPr>
          <w:rFonts w:asciiTheme="minorHAnsi" w:hAnsiTheme="minorHAnsi"/>
          <w:sz w:val="24"/>
          <w:szCs w:val="24"/>
        </w:rPr>
        <w:t>he primary language spoken at home is not always an indicator that an individual has immigrant status, it may suggest that the student is a recent immigrant and/or that their parents were immigrants. Language spoken at home also suggests the students’ likelihood of having to navigate through a school system while utilizing at least two languages.</w:t>
      </w:r>
    </w:p>
    <w:p w:rsidR="00E728F5" w:rsidRDefault="00E728F5" w:rsidP="00803FC4">
      <w:pPr>
        <w:keepNext/>
        <w:keepLines/>
        <w:spacing w:before="200" w:after="0" w:line="276" w:lineRule="auto"/>
        <w:outlineLvl w:val="1"/>
        <w:rPr>
          <w:rFonts w:ascii="Cambria" w:eastAsia="Times New Roman" w:hAnsi="Cambria" w:cs="Times New Roman"/>
          <w:b/>
          <w:bCs/>
          <w:sz w:val="32"/>
          <w:szCs w:val="26"/>
        </w:rPr>
      </w:pPr>
      <w:r>
        <w:rPr>
          <w:rFonts w:ascii="Times New Roman" w:hAnsi="Times New Roman" w:cs="Times New Roman"/>
          <w:noProof/>
          <w:sz w:val="24"/>
          <w:szCs w:val="24"/>
        </w:rPr>
        <w:drawing>
          <wp:inline distT="0" distB="0" distL="0" distR="0" wp14:anchorId="6628A620" wp14:editId="407A055F">
            <wp:extent cx="5781675" cy="26384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19D0" w:rsidRDefault="004919D0" w:rsidP="00803FC4">
      <w:pPr>
        <w:keepNext/>
        <w:keepLines/>
        <w:spacing w:before="200" w:after="0" w:line="276" w:lineRule="auto"/>
        <w:outlineLvl w:val="1"/>
        <w:rPr>
          <w:rFonts w:ascii="Cambria" w:eastAsia="Times New Roman" w:hAnsi="Cambria" w:cs="Times New Roman"/>
          <w:b/>
          <w:bCs/>
          <w:sz w:val="36"/>
          <w:szCs w:val="36"/>
        </w:rPr>
      </w:pPr>
    </w:p>
    <w:p w:rsidR="00803FC4" w:rsidRDefault="00803FC4" w:rsidP="00803FC4">
      <w:pPr>
        <w:keepNext/>
        <w:keepLines/>
        <w:spacing w:before="200" w:after="0" w:line="276" w:lineRule="auto"/>
        <w:outlineLvl w:val="1"/>
        <w:rPr>
          <w:rFonts w:ascii="Cambria" w:eastAsia="Times New Roman" w:hAnsi="Cambria" w:cs="Times New Roman"/>
          <w:b/>
          <w:bCs/>
          <w:sz w:val="36"/>
          <w:szCs w:val="36"/>
        </w:rPr>
      </w:pPr>
      <w:r w:rsidRPr="00B50386">
        <w:rPr>
          <w:rFonts w:ascii="Cambria" w:eastAsia="Times New Roman" w:hAnsi="Cambria" w:cs="Times New Roman"/>
          <w:b/>
          <w:bCs/>
          <w:sz w:val="36"/>
          <w:szCs w:val="36"/>
        </w:rPr>
        <w:t xml:space="preserve">Aging and Retirement </w:t>
      </w:r>
    </w:p>
    <w:p w:rsidR="007275AA" w:rsidRPr="00B50386" w:rsidRDefault="007275AA" w:rsidP="00765780">
      <w:pPr>
        <w:spacing w:after="200" w:line="276" w:lineRule="auto"/>
        <w:rPr>
          <w:rFonts w:ascii="Cambria" w:eastAsia="Times New Roman" w:hAnsi="Cambria" w:cs="Times New Roman"/>
          <w:b/>
          <w:bCs/>
          <w:sz w:val="36"/>
          <w:szCs w:val="36"/>
        </w:rPr>
      </w:pPr>
      <w:r w:rsidRPr="00E728F5">
        <w:rPr>
          <w:rFonts w:eastAsia="Calibri" w:cs="Times New Roman"/>
          <w:sz w:val="24"/>
        </w:rPr>
        <w:t xml:space="preserve">The United States, along with Minnesota and its counties, have aging populations. </w:t>
      </w:r>
      <w:r w:rsidRPr="00E728F5">
        <w:rPr>
          <w:rFonts w:cs="Times New Roman"/>
          <w:sz w:val="24"/>
          <w:szCs w:val="24"/>
        </w:rPr>
        <w:t xml:space="preserve">According to the 2010 U.S. Census, there are 683,121 people 65 years of age or older </w:t>
      </w:r>
      <w:r>
        <w:rPr>
          <w:rFonts w:cs="Times New Roman"/>
          <w:sz w:val="24"/>
          <w:szCs w:val="24"/>
        </w:rPr>
        <w:t>living</w:t>
      </w:r>
      <w:r w:rsidRPr="00E728F5">
        <w:rPr>
          <w:rFonts w:cs="Times New Roman"/>
          <w:sz w:val="24"/>
          <w:szCs w:val="24"/>
        </w:rPr>
        <w:t xml:space="preserve"> in Minnesota</w:t>
      </w:r>
      <w:r>
        <w:rPr>
          <w:rFonts w:cs="Times New Roman"/>
          <w:sz w:val="24"/>
          <w:szCs w:val="24"/>
        </w:rPr>
        <w:t xml:space="preserve">, </w:t>
      </w:r>
      <w:r w:rsidRPr="00E728F5">
        <w:rPr>
          <w:rFonts w:cs="Times New Roman"/>
          <w:sz w:val="24"/>
          <w:szCs w:val="24"/>
        </w:rPr>
        <w:lastRenderedPageBreak/>
        <w:t xml:space="preserve">equivalent to 13% of </w:t>
      </w:r>
      <w:r>
        <w:rPr>
          <w:rFonts w:cs="Times New Roman"/>
          <w:sz w:val="24"/>
          <w:szCs w:val="24"/>
        </w:rPr>
        <w:t>the state’s</w:t>
      </w:r>
      <w:r w:rsidRPr="00E728F5">
        <w:rPr>
          <w:rFonts w:cs="Times New Roman"/>
          <w:sz w:val="24"/>
          <w:szCs w:val="24"/>
        </w:rPr>
        <w:t xml:space="preserve"> population</w:t>
      </w:r>
      <w:r>
        <w:rPr>
          <w:rFonts w:cs="Times New Roman"/>
          <w:sz w:val="24"/>
          <w:szCs w:val="24"/>
        </w:rPr>
        <w:t>.</w:t>
      </w:r>
      <w:r w:rsidRPr="00E728F5">
        <w:rPr>
          <w:rFonts w:eastAsia="Calibri" w:cs="Times New Roman"/>
          <w:sz w:val="24"/>
        </w:rPr>
        <w:t xml:space="preserve"> </w:t>
      </w:r>
      <w:r>
        <w:rPr>
          <w:rFonts w:eastAsia="Calibri" w:cs="Times New Roman"/>
          <w:sz w:val="24"/>
        </w:rPr>
        <w:t>T</w:t>
      </w:r>
      <w:r w:rsidRPr="00E728F5">
        <w:rPr>
          <w:rFonts w:eastAsia="Calibri" w:cs="Times New Roman"/>
          <w:sz w:val="24"/>
        </w:rPr>
        <w:t xml:space="preserve">he following chart shows the population distribution for Minnesota and the </w:t>
      </w:r>
      <w:r>
        <w:rPr>
          <w:rFonts w:eastAsia="Calibri" w:cs="Times New Roman"/>
          <w:sz w:val="24"/>
        </w:rPr>
        <w:t xml:space="preserve">5 </w:t>
      </w:r>
      <w:r w:rsidRPr="00E728F5">
        <w:rPr>
          <w:rFonts w:eastAsia="Calibri" w:cs="Times New Roman"/>
          <w:sz w:val="24"/>
        </w:rPr>
        <w:t xml:space="preserve">individual </w:t>
      </w:r>
      <w:r>
        <w:rPr>
          <w:rFonts w:eastAsia="Calibri" w:cs="Times New Roman"/>
          <w:sz w:val="24"/>
        </w:rPr>
        <w:t xml:space="preserve">Horizon </w:t>
      </w:r>
      <w:r w:rsidRPr="00E728F5">
        <w:rPr>
          <w:rFonts w:eastAsia="Calibri" w:cs="Times New Roman"/>
          <w:sz w:val="24"/>
        </w:rPr>
        <w:t xml:space="preserve">counties for 2015.  </w:t>
      </w:r>
      <w:r w:rsidRPr="00E728F5">
        <w:rPr>
          <w:rFonts w:eastAsia="Calibri" w:cs="Times New Roman"/>
          <w:sz w:val="24"/>
          <w:szCs w:val="24"/>
        </w:rPr>
        <w:t xml:space="preserve">Currently, the </w:t>
      </w:r>
      <w:r>
        <w:rPr>
          <w:rFonts w:eastAsia="Calibri" w:cs="Times New Roman"/>
          <w:sz w:val="24"/>
          <w:szCs w:val="24"/>
        </w:rPr>
        <w:t xml:space="preserve">Horizon </w:t>
      </w:r>
      <w:r w:rsidRPr="00E728F5">
        <w:rPr>
          <w:rFonts w:eastAsia="Calibri" w:cs="Times New Roman"/>
          <w:sz w:val="24"/>
          <w:szCs w:val="24"/>
        </w:rPr>
        <w:t>CHB counties</w:t>
      </w:r>
      <w:r>
        <w:rPr>
          <w:rFonts w:eastAsia="Calibri" w:cs="Times New Roman"/>
          <w:sz w:val="24"/>
          <w:szCs w:val="24"/>
        </w:rPr>
        <w:t>, with the exception of</w:t>
      </w:r>
      <w:r w:rsidRPr="00E728F5">
        <w:rPr>
          <w:rFonts w:eastAsia="Calibri" w:cs="Times New Roman"/>
          <w:sz w:val="24"/>
          <w:szCs w:val="24"/>
        </w:rPr>
        <w:t xml:space="preserve"> Stevens County, have over 20% of </w:t>
      </w:r>
      <w:r>
        <w:rPr>
          <w:rFonts w:eastAsia="Calibri" w:cs="Times New Roman"/>
          <w:sz w:val="24"/>
          <w:szCs w:val="24"/>
        </w:rPr>
        <w:t>their respective</w:t>
      </w:r>
      <w:r w:rsidRPr="00E728F5">
        <w:rPr>
          <w:rFonts w:eastAsia="Calibri" w:cs="Times New Roman"/>
          <w:sz w:val="24"/>
          <w:szCs w:val="24"/>
        </w:rPr>
        <w:t xml:space="preserve"> population</w:t>
      </w:r>
      <w:r>
        <w:rPr>
          <w:rFonts w:eastAsia="Calibri" w:cs="Times New Roman"/>
          <w:sz w:val="24"/>
          <w:szCs w:val="24"/>
        </w:rPr>
        <w:t>s</w:t>
      </w:r>
      <w:r w:rsidRPr="00E728F5">
        <w:rPr>
          <w:rFonts w:eastAsia="Calibri" w:cs="Times New Roman"/>
          <w:sz w:val="24"/>
          <w:szCs w:val="24"/>
        </w:rPr>
        <w:t xml:space="preserve"> comprised of individuals that are 65 years of age or older. </w:t>
      </w:r>
      <w:r>
        <w:rPr>
          <w:rFonts w:cs="Times New Roman"/>
          <w:sz w:val="24"/>
          <w:szCs w:val="24"/>
        </w:rPr>
        <w:t>In comparing the Horizon counties</w:t>
      </w:r>
      <w:r w:rsidRPr="00E728F5">
        <w:rPr>
          <w:rFonts w:cs="Times New Roman"/>
          <w:sz w:val="24"/>
          <w:szCs w:val="24"/>
        </w:rPr>
        <w:t xml:space="preserve"> to Minnesota, the </w:t>
      </w:r>
      <w:r>
        <w:rPr>
          <w:rFonts w:cs="Times New Roman"/>
          <w:sz w:val="24"/>
          <w:szCs w:val="24"/>
        </w:rPr>
        <w:t xml:space="preserve">population age 65 and older </w:t>
      </w:r>
      <w:r w:rsidRPr="00E728F5">
        <w:rPr>
          <w:rFonts w:cs="Times New Roman"/>
          <w:sz w:val="24"/>
          <w:szCs w:val="24"/>
        </w:rPr>
        <w:t xml:space="preserve">is substantially higher, with </w:t>
      </w:r>
      <w:r>
        <w:rPr>
          <w:rFonts w:cs="Times New Roman"/>
          <w:sz w:val="24"/>
          <w:szCs w:val="24"/>
        </w:rPr>
        <w:t xml:space="preserve">21.8% of the </w:t>
      </w:r>
      <w:r w:rsidRPr="00E728F5">
        <w:rPr>
          <w:rFonts w:cs="Times New Roman"/>
          <w:sz w:val="24"/>
          <w:szCs w:val="24"/>
        </w:rPr>
        <w:t>current population</w:t>
      </w:r>
      <w:r>
        <w:rPr>
          <w:rFonts w:cs="Times New Roman"/>
          <w:sz w:val="24"/>
          <w:szCs w:val="24"/>
        </w:rPr>
        <w:t xml:space="preserve"> over 65 years of age</w:t>
      </w:r>
      <w:r w:rsidRPr="00E728F5">
        <w:rPr>
          <w:rFonts w:cs="Times New Roman"/>
          <w:sz w:val="24"/>
          <w:szCs w:val="24"/>
        </w:rPr>
        <w:t xml:space="preserve">. </w:t>
      </w:r>
      <w:r w:rsidRPr="00E728F5">
        <w:rPr>
          <w:rFonts w:eastAsia="Calibri" w:cs="Times New Roman"/>
          <w:sz w:val="24"/>
          <w:szCs w:val="24"/>
        </w:rPr>
        <w:t>With these aging populations, communities will be confronted with challenges, as well as opportunities to identify innovative approaches to meet the unique and diverse needs of aging Minnesotans.</w:t>
      </w:r>
    </w:p>
    <w:p w:rsidR="00C75DA8" w:rsidRDefault="00C75DA8" w:rsidP="00C75DA8">
      <w:pPr>
        <w:spacing w:after="200" w:line="276" w:lineRule="auto"/>
        <w:rPr>
          <w:rFonts w:eastAsia="Calibri" w:cs="Times New Roman"/>
          <w:sz w:val="24"/>
        </w:rPr>
      </w:pPr>
      <w:r w:rsidRPr="00803FC4">
        <w:rPr>
          <w:rFonts w:ascii="Times New Roman" w:eastAsia="Calibri" w:hAnsi="Times New Roman" w:cs="Times New Roman"/>
          <w:noProof/>
          <w:sz w:val="28"/>
          <w:szCs w:val="28"/>
        </w:rPr>
        <w:drawing>
          <wp:inline distT="0" distB="0" distL="0" distR="0" wp14:anchorId="242CEEFF" wp14:editId="6AD96C2C">
            <wp:extent cx="5495925" cy="3209925"/>
            <wp:effectExtent l="0" t="0" r="9525" b="9525"/>
            <wp:docPr id="4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5DA8" w:rsidRPr="00C75DA8" w:rsidRDefault="00C75DA8" w:rsidP="00C75DA8">
      <w:pPr>
        <w:spacing w:after="200" w:line="240" w:lineRule="auto"/>
        <w:rPr>
          <w:rFonts w:eastAsia="Calibri" w:cs="Times New Roman"/>
          <w:i/>
        </w:rPr>
      </w:pPr>
      <w:r w:rsidRPr="00C75DA8">
        <w:rPr>
          <w:rFonts w:cs="Times New Roman"/>
          <w:i/>
        </w:rPr>
        <w:t>Source: Minneso</w:t>
      </w:r>
      <w:r w:rsidR="00135CD5">
        <w:rPr>
          <w:rFonts w:cs="Times New Roman"/>
          <w:i/>
        </w:rPr>
        <w:t>ta Department of Health Count Health Tables,</w:t>
      </w:r>
      <w:r w:rsidR="00C01CD4">
        <w:rPr>
          <w:rFonts w:cs="Times New Roman"/>
          <w:i/>
        </w:rPr>
        <w:t xml:space="preserve"> </w:t>
      </w:r>
      <w:r w:rsidR="00135CD5">
        <w:rPr>
          <w:rFonts w:cs="Times New Roman"/>
          <w:i/>
        </w:rPr>
        <w:t>2015</w:t>
      </w:r>
    </w:p>
    <w:p w:rsidR="006825CE" w:rsidRPr="000941FF" w:rsidRDefault="006825CE" w:rsidP="000941FF">
      <w:pPr>
        <w:spacing w:after="200" w:line="276" w:lineRule="auto"/>
        <w:rPr>
          <w:rFonts w:eastAsia="Calibri" w:cs="Times New Roman"/>
          <w:sz w:val="24"/>
        </w:rPr>
      </w:pPr>
      <w:r w:rsidRPr="00B50386">
        <w:rPr>
          <w:rFonts w:cs="Times New Roman"/>
          <w:sz w:val="36"/>
          <w:szCs w:val="36"/>
        </w:rPr>
        <w:t>Population Projections</w:t>
      </w:r>
    </w:p>
    <w:p w:rsidR="00B65794" w:rsidRDefault="00803FC4" w:rsidP="00067187">
      <w:pPr>
        <w:spacing w:line="276" w:lineRule="auto"/>
        <w:rPr>
          <w:rFonts w:cs="Times New Roman"/>
          <w:sz w:val="24"/>
          <w:szCs w:val="24"/>
        </w:rPr>
      </w:pPr>
      <w:r w:rsidRPr="00E96147">
        <w:rPr>
          <w:rFonts w:eastAsia="Times New Roman" w:cs="Times New Roman"/>
          <w:sz w:val="24"/>
        </w:rPr>
        <w:t>Due to the aging population, it is important to look at future population project</w:t>
      </w:r>
      <w:r w:rsidR="00F866B7" w:rsidRPr="00E96147">
        <w:rPr>
          <w:rFonts w:eastAsia="Times New Roman" w:cs="Times New Roman"/>
          <w:sz w:val="24"/>
        </w:rPr>
        <w:t>ion</w:t>
      </w:r>
      <w:r w:rsidRPr="00E96147">
        <w:rPr>
          <w:rFonts w:eastAsia="Times New Roman" w:cs="Times New Roman"/>
          <w:sz w:val="24"/>
        </w:rPr>
        <w:t>s</w:t>
      </w:r>
      <w:r w:rsidR="00C75DA8" w:rsidRPr="00E96147">
        <w:rPr>
          <w:rFonts w:eastAsia="Calibri" w:cs="Times New Roman"/>
          <w:sz w:val="24"/>
          <w:szCs w:val="24"/>
        </w:rPr>
        <w:t xml:space="preserve">. </w:t>
      </w:r>
      <w:r w:rsidR="00B65794" w:rsidRPr="00E96147">
        <w:rPr>
          <w:rFonts w:eastAsia="Times New Roman" w:cs="Times New Roman"/>
          <w:sz w:val="24"/>
        </w:rPr>
        <w:t>The following chart below</w:t>
      </w:r>
      <w:r w:rsidRPr="00E96147">
        <w:rPr>
          <w:rFonts w:eastAsia="Times New Roman" w:cs="Times New Roman"/>
          <w:sz w:val="24"/>
        </w:rPr>
        <w:t xml:space="preserve"> projects the population of Minnesota and the five individual counties</w:t>
      </w:r>
      <w:r w:rsidR="00F866B7" w:rsidRPr="00E96147">
        <w:rPr>
          <w:rFonts w:eastAsia="Times New Roman" w:cs="Times New Roman"/>
          <w:sz w:val="24"/>
        </w:rPr>
        <w:t>’ population</w:t>
      </w:r>
      <w:r w:rsidR="00AA0B4D" w:rsidRPr="00E96147">
        <w:rPr>
          <w:rFonts w:eastAsia="Times New Roman" w:cs="Times New Roman"/>
          <w:sz w:val="24"/>
        </w:rPr>
        <w:t>s</w:t>
      </w:r>
      <w:r w:rsidR="00F866B7" w:rsidRPr="00E96147">
        <w:rPr>
          <w:rFonts w:eastAsia="Times New Roman" w:cs="Times New Roman"/>
          <w:sz w:val="24"/>
        </w:rPr>
        <w:t xml:space="preserve"> </w:t>
      </w:r>
      <w:r w:rsidR="006C245C" w:rsidRPr="00E96147">
        <w:rPr>
          <w:rFonts w:eastAsia="Times New Roman" w:cs="Times New Roman"/>
          <w:sz w:val="24"/>
        </w:rPr>
        <w:t xml:space="preserve">for </w:t>
      </w:r>
      <w:r w:rsidR="00E728F5" w:rsidRPr="00E96147">
        <w:rPr>
          <w:rFonts w:eastAsia="Times New Roman" w:cs="Times New Roman"/>
          <w:sz w:val="24"/>
        </w:rPr>
        <w:t>all individuals</w:t>
      </w:r>
      <w:r w:rsidR="00C75DA8" w:rsidRPr="00E96147">
        <w:rPr>
          <w:rFonts w:eastAsia="Times New Roman" w:cs="Times New Roman"/>
          <w:sz w:val="24"/>
        </w:rPr>
        <w:t xml:space="preserve"> from 2015 to 2045</w:t>
      </w:r>
      <w:r w:rsidRPr="00E96147">
        <w:rPr>
          <w:rFonts w:eastAsia="Times New Roman" w:cs="Times New Roman"/>
          <w:sz w:val="24"/>
        </w:rPr>
        <w:t xml:space="preserve">. </w:t>
      </w:r>
      <w:r w:rsidR="00E728F5" w:rsidRPr="00E96147">
        <w:rPr>
          <w:rFonts w:cs="Times New Roman"/>
          <w:sz w:val="24"/>
          <w:szCs w:val="24"/>
        </w:rPr>
        <w:t xml:space="preserve">The five county Horizon </w:t>
      </w:r>
      <w:r w:rsidR="00187080">
        <w:rPr>
          <w:rFonts w:cs="Times New Roman"/>
          <w:sz w:val="24"/>
          <w:szCs w:val="24"/>
        </w:rPr>
        <w:t>CHB service area</w:t>
      </w:r>
      <w:r w:rsidR="00E728F5" w:rsidRPr="00E96147">
        <w:rPr>
          <w:rFonts w:cs="Times New Roman"/>
          <w:sz w:val="24"/>
          <w:szCs w:val="24"/>
        </w:rPr>
        <w:t xml:space="preserve"> is overall projected to gain 1,918 people over the next three decades. However, as the graphs below indicate, there will be a rise up until year 2030, with a subsequent decline in population following this. The overall population projections for 2025 and 2045 are currently expected to be very similar with population totals around 70,000 people.</w:t>
      </w:r>
    </w:p>
    <w:p w:rsidR="004919D0" w:rsidRDefault="004919D0" w:rsidP="00802D42">
      <w:pPr>
        <w:rPr>
          <w:rFonts w:cs="Times New Roman"/>
          <w:sz w:val="24"/>
          <w:szCs w:val="24"/>
        </w:rPr>
      </w:pPr>
    </w:p>
    <w:p w:rsidR="004919D0" w:rsidRDefault="004919D0" w:rsidP="00803FC4">
      <w:pPr>
        <w:spacing w:after="0" w:line="240" w:lineRule="auto"/>
        <w:rPr>
          <w:rFonts w:eastAsia="Times New Roman" w:cs="Times New Roman"/>
          <w:sz w:val="24"/>
          <w:szCs w:val="24"/>
        </w:rPr>
      </w:pPr>
    </w:p>
    <w:p w:rsidR="004919D0" w:rsidRDefault="004919D0" w:rsidP="00803FC4">
      <w:pPr>
        <w:spacing w:after="0" w:line="240" w:lineRule="auto"/>
        <w:rPr>
          <w:rFonts w:eastAsia="Times New Roman" w:cs="Times New Roman"/>
          <w:sz w:val="24"/>
          <w:szCs w:val="24"/>
        </w:rPr>
      </w:pPr>
    </w:p>
    <w:p w:rsidR="00803FC4" w:rsidRPr="00803FC4" w:rsidRDefault="00803FC4" w:rsidP="00803FC4">
      <w:pPr>
        <w:spacing w:after="0" w:line="240" w:lineRule="auto"/>
        <w:rPr>
          <w:rFonts w:ascii="Calibri" w:eastAsia="Times New Roman" w:hAnsi="Calibri" w:cs="Times New Roman"/>
          <w:b/>
          <w:i/>
          <w:sz w:val="24"/>
        </w:rPr>
      </w:pPr>
      <w:r w:rsidRPr="00803FC4">
        <w:rPr>
          <w:rFonts w:ascii="Calibri" w:eastAsia="Times New Roman" w:hAnsi="Calibri" w:cs="Times New Roman"/>
          <w:b/>
          <w:i/>
          <w:sz w:val="24"/>
        </w:rPr>
        <w:t xml:space="preserve">Projected </w:t>
      </w:r>
      <w:r w:rsidR="00F2247D">
        <w:rPr>
          <w:rFonts w:ascii="Calibri" w:eastAsia="Times New Roman" w:hAnsi="Calibri" w:cs="Times New Roman"/>
          <w:b/>
          <w:i/>
          <w:sz w:val="24"/>
        </w:rPr>
        <w:t>Population</w:t>
      </w:r>
      <w:r w:rsidR="0085428A">
        <w:rPr>
          <w:rFonts w:ascii="Calibri" w:eastAsia="Times New Roman" w:hAnsi="Calibri" w:cs="Times New Roman"/>
          <w:b/>
          <w:i/>
          <w:sz w:val="24"/>
        </w:rPr>
        <w:t xml:space="preserve"> in Minnesota: 2015 to 2045</w:t>
      </w:r>
    </w:p>
    <w:p w:rsidR="00803FC4" w:rsidRPr="00355FA3" w:rsidRDefault="00803FC4" w:rsidP="00803FC4">
      <w:pPr>
        <w:spacing w:after="0" w:line="240" w:lineRule="auto"/>
        <w:rPr>
          <w:rFonts w:eastAsia="Times New Roman" w:cs="Times New Roman"/>
          <w:b/>
          <w:i/>
          <w:sz w:val="24"/>
        </w:rPr>
      </w:pPr>
    </w:p>
    <w:tbl>
      <w:tblPr>
        <w:tblStyle w:val="TableGrid"/>
        <w:tblW w:w="0" w:type="auto"/>
        <w:tblInd w:w="-113" w:type="dxa"/>
        <w:tblLook w:val="04A0" w:firstRow="1" w:lastRow="0" w:firstColumn="1" w:lastColumn="0" w:noHBand="0" w:noVBand="1"/>
      </w:tblPr>
      <w:tblGrid>
        <w:gridCol w:w="1242"/>
        <w:gridCol w:w="1104"/>
        <w:gridCol w:w="1104"/>
        <w:gridCol w:w="1104"/>
        <w:gridCol w:w="1104"/>
        <w:gridCol w:w="1104"/>
        <w:gridCol w:w="1104"/>
        <w:gridCol w:w="1104"/>
      </w:tblGrid>
      <w:tr w:rsidR="0085428A" w:rsidRPr="00355FA3" w:rsidTr="004919D0">
        <w:trPr>
          <w:trHeight w:val="414"/>
        </w:trPr>
        <w:tc>
          <w:tcPr>
            <w:tcW w:w="1242"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County</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2015</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2020</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2025</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2030</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2035</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2040</w:t>
            </w:r>
          </w:p>
        </w:tc>
        <w:tc>
          <w:tcPr>
            <w:tcW w:w="1104" w:type="dxa"/>
          </w:tcPr>
          <w:p w:rsidR="0085428A" w:rsidRPr="00355FA3" w:rsidRDefault="0085428A" w:rsidP="003B3F87">
            <w:pPr>
              <w:rPr>
                <w:rFonts w:asciiTheme="minorHAnsi" w:hAnsiTheme="minorHAnsi"/>
                <w:b/>
                <w:sz w:val="28"/>
                <w:szCs w:val="28"/>
              </w:rPr>
            </w:pPr>
            <w:r w:rsidRPr="00355FA3">
              <w:rPr>
                <w:rFonts w:asciiTheme="minorHAnsi" w:hAnsiTheme="minorHAnsi"/>
                <w:b/>
                <w:sz w:val="28"/>
                <w:szCs w:val="28"/>
              </w:rPr>
              <w:t>2045</w:t>
            </w:r>
          </w:p>
        </w:tc>
      </w:tr>
      <w:tr w:rsidR="0085428A" w:rsidRPr="00355FA3" w:rsidTr="004919D0">
        <w:trPr>
          <w:trHeight w:val="433"/>
        </w:trPr>
        <w:tc>
          <w:tcPr>
            <w:tcW w:w="1242"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Douglas</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37,960</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38,913</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39,400</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39,429</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39,237</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39,091</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39,014</w:t>
            </w:r>
          </w:p>
        </w:tc>
      </w:tr>
      <w:tr w:rsidR="0085428A" w:rsidRPr="00355FA3" w:rsidTr="004919D0">
        <w:trPr>
          <w:trHeight w:val="414"/>
        </w:trPr>
        <w:tc>
          <w:tcPr>
            <w:tcW w:w="1242"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Grant</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6,262</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6,362</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6,392</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6,378</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6,340</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6,299</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6,266</w:t>
            </w:r>
          </w:p>
        </w:tc>
      </w:tr>
      <w:tr w:rsidR="0085428A" w:rsidRPr="00355FA3" w:rsidTr="004919D0">
        <w:trPr>
          <w:trHeight w:val="414"/>
        </w:trPr>
        <w:tc>
          <w:tcPr>
            <w:tcW w:w="1242"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Pope</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11,504</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11,691</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11,758</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11,710</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11,603</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11,486</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11,376</w:t>
            </w:r>
          </w:p>
        </w:tc>
      </w:tr>
      <w:tr w:rsidR="0085428A" w:rsidRPr="00355FA3" w:rsidTr="004919D0">
        <w:trPr>
          <w:trHeight w:val="433"/>
        </w:trPr>
        <w:tc>
          <w:tcPr>
            <w:tcW w:w="1242"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Stevens</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9,648</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9,782</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10,002</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9,993</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10,095</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10,168</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10,285</w:t>
            </w:r>
          </w:p>
        </w:tc>
      </w:tr>
      <w:tr w:rsidR="0085428A" w:rsidRPr="00355FA3" w:rsidTr="004919D0">
        <w:trPr>
          <w:trHeight w:val="433"/>
        </w:trPr>
        <w:tc>
          <w:tcPr>
            <w:tcW w:w="1242"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Traverse</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3,603</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3,564</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3,554</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3,549</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3,539</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3,518</w:t>
            </w:r>
          </w:p>
        </w:tc>
        <w:tc>
          <w:tcPr>
            <w:tcW w:w="1104" w:type="dxa"/>
          </w:tcPr>
          <w:p w:rsidR="0085428A" w:rsidRPr="00355FA3" w:rsidRDefault="0085428A" w:rsidP="003B3F87">
            <w:pPr>
              <w:rPr>
                <w:rFonts w:asciiTheme="minorHAnsi" w:hAnsiTheme="minorHAnsi"/>
                <w:sz w:val="28"/>
                <w:szCs w:val="28"/>
              </w:rPr>
            </w:pPr>
            <w:r w:rsidRPr="00355FA3">
              <w:rPr>
                <w:rFonts w:asciiTheme="minorHAnsi" w:hAnsiTheme="minorHAnsi"/>
                <w:sz w:val="28"/>
                <w:szCs w:val="28"/>
              </w:rPr>
              <w:t>3,508</w:t>
            </w:r>
          </w:p>
        </w:tc>
      </w:tr>
    </w:tbl>
    <w:p w:rsidR="00803FC4" w:rsidRPr="00E33B1E" w:rsidRDefault="002F67F6" w:rsidP="00803FC4">
      <w:pPr>
        <w:spacing w:after="0" w:line="240" w:lineRule="auto"/>
        <w:rPr>
          <w:rFonts w:cs="Times New Roman"/>
          <w:sz w:val="20"/>
          <w:szCs w:val="20"/>
        </w:rPr>
      </w:pPr>
      <w:r w:rsidRPr="00E33B1E">
        <w:rPr>
          <w:rFonts w:eastAsia="Times New Roman" w:cs="Times New Roman"/>
          <w:sz w:val="20"/>
          <w:szCs w:val="20"/>
        </w:rPr>
        <w:t xml:space="preserve">Source: </w:t>
      </w:r>
      <w:r w:rsidRPr="00E33B1E">
        <w:rPr>
          <w:rFonts w:cs="Times New Roman"/>
          <w:sz w:val="20"/>
          <w:szCs w:val="20"/>
        </w:rPr>
        <w:t>Minnesota State Demographic Center, 2014</w:t>
      </w:r>
    </w:p>
    <w:p w:rsidR="006825CE" w:rsidRDefault="006825CE" w:rsidP="00803FC4">
      <w:pPr>
        <w:spacing w:after="0" w:line="240" w:lineRule="auto"/>
        <w:rPr>
          <w:rFonts w:cs="Times New Roman"/>
          <w:sz w:val="24"/>
          <w:szCs w:val="24"/>
        </w:rPr>
      </w:pPr>
    </w:p>
    <w:p w:rsidR="006825CE" w:rsidRDefault="006825CE" w:rsidP="00803FC4">
      <w:pPr>
        <w:spacing w:after="0" w:line="240" w:lineRule="auto"/>
        <w:rPr>
          <w:rFonts w:cs="Times New Roman"/>
          <w:sz w:val="24"/>
          <w:szCs w:val="24"/>
        </w:rPr>
      </w:pPr>
    </w:p>
    <w:p w:rsidR="00802D42" w:rsidRDefault="00802D42" w:rsidP="00803FC4">
      <w:pPr>
        <w:spacing w:after="0" w:line="240" w:lineRule="auto"/>
        <w:rPr>
          <w:rFonts w:cs="Times New Roman"/>
          <w:sz w:val="24"/>
          <w:szCs w:val="24"/>
        </w:rPr>
      </w:pPr>
    </w:p>
    <w:p w:rsidR="006825CE" w:rsidRDefault="006825CE" w:rsidP="00803FC4">
      <w:pPr>
        <w:spacing w:after="0" w:line="240" w:lineRule="auto"/>
        <w:rPr>
          <w:rFonts w:cs="Times New Roman"/>
          <w:sz w:val="24"/>
          <w:szCs w:val="24"/>
        </w:rPr>
      </w:pPr>
    </w:p>
    <w:p w:rsidR="006825CE" w:rsidRDefault="006825CE" w:rsidP="00803FC4">
      <w:pPr>
        <w:spacing w:after="0" w:line="240" w:lineRule="auto"/>
        <w:rPr>
          <w:rFonts w:cs="Times New Roman"/>
          <w:sz w:val="24"/>
          <w:szCs w:val="24"/>
        </w:rPr>
      </w:pPr>
    </w:p>
    <w:p w:rsidR="00E728F5" w:rsidRPr="00355FA3" w:rsidRDefault="001755A5" w:rsidP="00803FC4">
      <w:pPr>
        <w:spacing w:after="0" w:line="240" w:lineRule="auto"/>
        <w:rPr>
          <w:rFonts w:eastAsia="Times New Roman" w:cs="Times New Roman"/>
          <w:sz w:val="24"/>
        </w:rPr>
      </w:pPr>
      <w:r w:rsidRPr="001755A5">
        <w:rPr>
          <w:rFonts w:eastAsia="Times New Roman" w:cs="Times New Roman"/>
          <w:noProof/>
          <w:sz w:val="24"/>
        </w:rPr>
        <mc:AlternateContent>
          <mc:Choice Requires="wps">
            <w:drawing>
              <wp:anchor distT="0" distB="0" distL="114300" distR="114300" simplePos="0" relativeHeight="251663360" behindDoc="0" locked="0" layoutInCell="1" allowOverlap="1" wp14:anchorId="666B14AE" wp14:editId="35054DAC">
                <wp:simplePos x="0" y="0"/>
                <wp:positionH relativeFrom="column">
                  <wp:posOffset>809625</wp:posOffset>
                </wp:positionH>
                <wp:positionV relativeFrom="paragraph">
                  <wp:posOffset>-352425</wp:posOffset>
                </wp:positionV>
                <wp:extent cx="3848100" cy="476250"/>
                <wp:effectExtent l="0" t="0" r="1905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476250"/>
                        </a:xfrm>
                        <a:prstGeom prst="rect">
                          <a:avLst/>
                        </a:prstGeom>
                        <a:solidFill>
                          <a:srgbClr val="FFFFFF"/>
                        </a:solidFill>
                        <a:ln w="9525">
                          <a:solidFill>
                            <a:srgbClr val="000000"/>
                          </a:solidFill>
                          <a:miter lim="800000"/>
                          <a:headEnd/>
                          <a:tailEnd/>
                        </a:ln>
                      </wps:spPr>
                      <wps:txbx>
                        <w:txbxContent>
                          <w:p w:rsidR="00792D7C" w:rsidRDefault="00792D7C" w:rsidP="001755A5">
                            <w:pPr>
                              <w:jc w:val="center"/>
                            </w:pPr>
                            <w:r>
                              <w:t>Horizon Community Health Board Projected Population from 2015 to 2045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B14AE" id="_x0000_t202" coordsize="21600,21600" o:spt="202" path="m,l,21600r21600,l21600,xe">
                <v:stroke joinstyle="miter"/>
                <v:path gradientshapeok="t" o:connecttype="rect"/>
              </v:shapetype>
              <v:shape id="Text Box 2" o:spid="_x0000_s1026" type="#_x0000_t202" style="position:absolute;margin-left:63.75pt;margin-top:-27.75pt;width:303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hIwIAAEU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">
                <v:textbox>
                  <w:txbxContent>
                    <w:p w:rsidR="00792D7C" w:rsidRDefault="00792D7C" w:rsidP="001755A5">
                      <w:pPr>
                        <w:jc w:val="center"/>
                      </w:pPr>
                      <w:r>
                        <w:t>Horizon Community Health Board Projected Population from 2015 to 2045</w:t>
                      </w:r>
                    </w:p>
                  </w:txbxContent>
                </v:textbox>
              </v:shape>
            </w:pict>
          </mc:Fallback>
        </mc:AlternateContent>
      </w:r>
      <w:r w:rsidR="00E728F5">
        <w:rPr>
          <w:rFonts w:ascii="Times New Roman" w:hAnsi="Times New Roman" w:cs="Times New Roman"/>
          <w:noProof/>
          <w:sz w:val="24"/>
          <w:szCs w:val="24"/>
        </w:rPr>
        <w:drawing>
          <wp:inline distT="0" distB="0" distL="0" distR="0" wp14:anchorId="27819FFE" wp14:editId="32E3AB51">
            <wp:extent cx="5600700" cy="3476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28F5" w:rsidRDefault="00E728F5" w:rsidP="00E728F5">
      <w:pPr>
        <w:rPr>
          <w:rFonts w:cs="Times New Roman"/>
          <w:sz w:val="20"/>
          <w:szCs w:val="20"/>
        </w:rPr>
      </w:pPr>
      <w:r w:rsidRPr="00E2072B">
        <w:rPr>
          <w:rFonts w:cs="Times New Roman"/>
          <w:sz w:val="20"/>
          <w:szCs w:val="20"/>
        </w:rPr>
        <w:t xml:space="preserve">Source: </w:t>
      </w:r>
      <w:r w:rsidR="00303E10">
        <w:rPr>
          <w:rStyle w:val="EndnoteReference"/>
          <w:rFonts w:cs="Times New Roman"/>
          <w:sz w:val="20"/>
          <w:szCs w:val="20"/>
        </w:rPr>
        <w:endnoteReference w:id="4"/>
      </w:r>
      <w:r w:rsidRPr="00E2072B">
        <w:rPr>
          <w:rFonts w:cs="Times New Roman"/>
          <w:sz w:val="20"/>
          <w:szCs w:val="20"/>
        </w:rPr>
        <w:t xml:space="preserve"> </w:t>
      </w:r>
    </w:p>
    <w:p w:rsidR="00DA3CB8" w:rsidRPr="00E2072B" w:rsidRDefault="00DA3CB8" w:rsidP="00E728F5">
      <w:pPr>
        <w:rPr>
          <w:rFonts w:cs="Times New Roman"/>
          <w:sz w:val="20"/>
          <w:szCs w:val="20"/>
        </w:rPr>
      </w:pPr>
    </w:p>
    <w:p w:rsidR="00803FC4" w:rsidRPr="00B50386" w:rsidRDefault="00803FC4" w:rsidP="00803FC4">
      <w:pPr>
        <w:keepNext/>
        <w:keepLines/>
        <w:spacing w:before="200" w:after="0" w:line="276" w:lineRule="auto"/>
        <w:outlineLvl w:val="1"/>
        <w:rPr>
          <w:rFonts w:ascii="Cambria" w:eastAsia="Times New Roman" w:hAnsi="Cambria" w:cs="Times New Roman"/>
          <w:b/>
          <w:bCs/>
          <w:sz w:val="32"/>
          <w:szCs w:val="26"/>
        </w:rPr>
      </w:pPr>
      <w:r w:rsidRPr="00B50386">
        <w:rPr>
          <w:rFonts w:ascii="Cambria" w:eastAsia="Times New Roman" w:hAnsi="Cambria" w:cs="Times New Roman"/>
          <w:b/>
          <w:bCs/>
          <w:sz w:val="32"/>
          <w:szCs w:val="26"/>
        </w:rPr>
        <w:lastRenderedPageBreak/>
        <w:t>Land Area</w:t>
      </w:r>
    </w:p>
    <w:p w:rsidR="00AA0B4D" w:rsidRDefault="009237F5" w:rsidP="009E2DD2">
      <w:pPr>
        <w:spacing w:after="200" w:line="276" w:lineRule="auto"/>
        <w:rPr>
          <w:rFonts w:ascii="Calibri" w:eastAsia="Calibri" w:hAnsi="Calibri" w:cs="Times New Roman"/>
          <w:sz w:val="24"/>
        </w:rPr>
      </w:pPr>
      <w:r w:rsidRPr="00803FC4">
        <w:rPr>
          <w:rFonts w:ascii="Calibri" w:eastAsia="Calibri" w:hAnsi="Calibri" w:cs="Times New Roman"/>
          <w:noProof/>
          <w:sz w:val="24"/>
          <w:szCs w:val="24"/>
        </w:rPr>
        <w:drawing>
          <wp:inline distT="0" distB="0" distL="0" distR="0" wp14:anchorId="6330064F" wp14:editId="446EF444">
            <wp:extent cx="2371725" cy="1944814"/>
            <wp:effectExtent l="0" t="0" r="0"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rizon County Ma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71725" cy="1944814"/>
                    </a:xfrm>
                    <a:prstGeom prst="rect">
                      <a:avLst/>
                    </a:prstGeom>
                    <a:noFill/>
                    <a:ln>
                      <a:noFill/>
                    </a:ln>
                  </pic:spPr>
                </pic:pic>
              </a:graphicData>
            </a:graphic>
          </wp:inline>
        </w:drawing>
      </w:r>
      <w:r w:rsidRPr="00803FC4">
        <w:rPr>
          <w:rFonts w:ascii="Calibri" w:eastAsia="Calibri" w:hAnsi="Calibri" w:cs="Times New Roman"/>
          <w:sz w:val="24"/>
          <w:szCs w:val="24"/>
        </w:rPr>
        <w:t>The Horizon Community Health Board</w:t>
      </w:r>
      <w:r>
        <w:rPr>
          <w:rFonts w:ascii="Calibri" w:eastAsia="Calibri" w:hAnsi="Calibri" w:cs="Times New Roman"/>
          <w:sz w:val="24"/>
          <w:szCs w:val="24"/>
        </w:rPr>
        <w:t xml:space="preserve"> (CHB) is comprised of</w:t>
      </w:r>
      <w:r w:rsidRPr="00803FC4">
        <w:rPr>
          <w:rFonts w:ascii="Calibri" w:eastAsia="Calibri" w:hAnsi="Calibri" w:cs="Times New Roman"/>
          <w:sz w:val="24"/>
          <w:szCs w:val="24"/>
        </w:rPr>
        <w:t xml:space="preserve"> five counties</w:t>
      </w:r>
      <w:r w:rsidR="00802D42">
        <w:rPr>
          <w:rFonts w:ascii="Calibri" w:eastAsia="Calibri" w:hAnsi="Calibri" w:cs="Times New Roman"/>
          <w:sz w:val="24"/>
          <w:szCs w:val="24"/>
        </w:rPr>
        <w:t xml:space="preserve"> in West Central MN</w:t>
      </w:r>
      <w:r w:rsidRPr="00803FC4">
        <w:rPr>
          <w:rFonts w:ascii="Calibri" w:eastAsia="Calibri" w:hAnsi="Calibri" w:cs="Times New Roman"/>
          <w:sz w:val="24"/>
          <w:szCs w:val="24"/>
        </w:rPr>
        <w:t xml:space="preserve"> including Douglas, Grant, Pope, Stevens, and Traverse. These counties are located in the Midwestern region of Minnesota; an area that </w:t>
      </w:r>
      <w:r w:rsidR="00802D42">
        <w:rPr>
          <w:rFonts w:ascii="Calibri" w:eastAsia="Calibri" w:hAnsi="Calibri" w:cs="Times New Roman"/>
          <w:sz w:val="24"/>
          <w:szCs w:val="24"/>
        </w:rPr>
        <w:t>span</w:t>
      </w:r>
      <w:r w:rsidRPr="00803FC4">
        <w:rPr>
          <w:rFonts w:ascii="Calibri" w:eastAsia="Calibri" w:hAnsi="Calibri" w:cs="Times New Roman"/>
          <w:sz w:val="24"/>
          <w:szCs w:val="24"/>
        </w:rPr>
        <w:t xml:space="preserve">s a geographic </w:t>
      </w:r>
      <w:r w:rsidR="00802D42">
        <w:rPr>
          <w:rFonts w:ascii="Calibri" w:eastAsia="Calibri" w:hAnsi="Calibri" w:cs="Times New Roman"/>
          <w:sz w:val="24"/>
          <w:szCs w:val="24"/>
        </w:rPr>
        <w:t>area</w:t>
      </w:r>
      <w:r w:rsidRPr="00803FC4">
        <w:rPr>
          <w:rFonts w:ascii="Calibri" w:eastAsia="Calibri" w:hAnsi="Calibri" w:cs="Times New Roman"/>
          <w:sz w:val="24"/>
          <w:szCs w:val="24"/>
        </w:rPr>
        <w:t xml:space="preserve"> of 2,987 square miles.</w:t>
      </w:r>
      <w:r>
        <w:rPr>
          <w:rFonts w:ascii="Calibri" w:eastAsia="Calibri" w:hAnsi="Calibri" w:cs="Times New Roman"/>
          <w:sz w:val="24"/>
        </w:rPr>
        <w:t xml:space="preserve"> </w:t>
      </w:r>
      <w:r w:rsidR="00803FC4" w:rsidRPr="00803FC4">
        <w:rPr>
          <w:rFonts w:ascii="Calibri" w:eastAsia="Calibri" w:hAnsi="Calibri" w:cs="Times New Roman"/>
          <w:sz w:val="24"/>
        </w:rPr>
        <w:t>Shown below is a chart that lists the total land area in square miles for each des</w:t>
      </w:r>
      <w:r w:rsidR="00AA0B4D">
        <w:rPr>
          <w:rFonts w:ascii="Calibri" w:eastAsia="Calibri" w:hAnsi="Calibri" w:cs="Times New Roman"/>
          <w:sz w:val="24"/>
        </w:rPr>
        <w:t xml:space="preserve">ignated </w:t>
      </w:r>
      <w:r w:rsidR="00802D42">
        <w:rPr>
          <w:rFonts w:ascii="Calibri" w:eastAsia="Calibri" w:hAnsi="Calibri" w:cs="Times New Roman"/>
          <w:sz w:val="24"/>
        </w:rPr>
        <w:t>county</w:t>
      </w:r>
      <w:r w:rsidR="00AA0B4D">
        <w:rPr>
          <w:rFonts w:ascii="Calibri" w:eastAsia="Calibri" w:hAnsi="Calibri" w:cs="Times New Roman"/>
          <w:sz w:val="24"/>
        </w:rPr>
        <w:t xml:space="preserve"> in 2014</w:t>
      </w:r>
      <w:r w:rsidR="00803FC4" w:rsidRPr="00803FC4">
        <w:rPr>
          <w:rFonts w:ascii="Calibri" w:eastAsia="Calibri" w:hAnsi="Calibri" w:cs="Times New Roman"/>
          <w:sz w:val="24"/>
        </w:rPr>
        <w:t>.  It also lists the person per squ</w:t>
      </w:r>
      <w:r w:rsidR="00AA0B4D">
        <w:rPr>
          <w:rFonts w:ascii="Calibri" w:eastAsia="Calibri" w:hAnsi="Calibri" w:cs="Times New Roman"/>
          <w:sz w:val="24"/>
        </w:rPr>
        <w:t>are mile ratio according to 2014</w:t>
      </w:r>
      <w:r w:rsidR="00803FC4" w:rsidRPr="00803FC4">
        <w:rPr>
          <w:rFonts w:ascii="Calibri" w:eastAsia="Calibri" w:hAnsi="Calibri" w:cs="Times New Roman"/>
          <w:sz w:val="24"/>
        </w:rPr>
        <w:t xml:space="preserve"> data.  Pope County is</w:t>
      </w:r>
      <w:r w:rsidR="00802D42">
        <w:rPr>
          <w:rFonts w:ascii="Calibri" w:eastAsia="Calibri" w:hAnsi="Calibri" w:cs="Times New Roman"/>
          <w:sz w:val="24"/>
        </w:rPr>
        <w:t xml:space="preserve"> geographically</w:t>
      </w:r>
      <w:r w:rsidR="00803FC4" w:rsidRPr="00803FC4">
        <w:rPr>
          <w:rFonts w:ascii="Calibri" w:eastAsia="Calibri" w:hAnsi="Calibri" w:cs="Times New Roman"/>
          <w:sz w:val="24"/>
        </w:rPr>
        <w:t xml:space="preserve"> the largest county at </w:t>
      </w:r>
      <w:r w:rsidR="00AA0B4D">
        <w:rPr>
          <w:rFonts w:ascii="Calibri" w:eastAsia="Calibri" w:hAnsi="Calibri" w:cs="Times New Roman"/>
          <w:sz w:val="24"/>
        </w:rPr>
        <w:t xml:space="preserve">670 square miles, while Grant County is the smallest at 547 square miles. Population density is approximately 22.4 persons per square mile, which is lower than the statewide average of 68.5. </w:t>
      </w:r>
      <w:r w:rsidR="00803FC4" w:rsidRPr="00803FC4">
        <w:rPr>
          <w:rFonts w:ascii="Calibri" w:eastAsia="Calibri" w:hAnsi="Calibri" w:cs="Times New Roman"/>
          <w:sz w:val="24"/>
        </w:rPr>
        <w:t xml:space="preserve"> Douglas County has the highest people per square mile of the Horizon Community He</w:t>
      </w:r>
      <w:r w:rsidR="00AA0B4D">
        <w:rPr>
          <w:rFonts w:ascii="Calibri" w:eastAsia="Calibri" w:hAnsi="Calibri" w:cs="Times New Roman"/>
          <w:sz w:val="24"/>
        </w:rPr>
        <w:t xml:space="preserve">alth </w:t>
      </w:r>
      <w:r w:rsidR="00802D42">
        <w:rPr>
          <w:rFonts w:ascii="Calibri" w:eastAsia="Calibri" w:hAnsi="Calibri" w:cs="Times New Roman"/>
          <w:sz w:val="24"/>
        </w:rPr>
        <w:t>Board area</w:t>
      </w:r>
      <w:r w:rsidR="00AA0B4D">
        <w:rPr>
          <w:rFonts w:ascii="Calibri" w:eastAsia="Calibri" w:hAnsi="Calibri" w:cs="Times New Roman"/>
          <w:sz w:val="24"/>
        </w:rPr>
        <w:t xml:space="preserve"> </w:t>
      </w:r>
      <w:r w:rsidR="00355FA3">
        <w:rPr>
          <w:rFonts w:ascii="Calibri" w:eastAsia="Calibri" w:hAnsi="Calibri" w:cs="Times New Roman"/>
          <w:sz w:val="24"/>
        </w:rPr>
        <w:t>at</w:t>
      </w:r>
      <w:r w:rsidR="00AA0B4D">
        <w:rPr>
          <w:rFonts w:ascii="Calibri" w:eastAsia="Calibri" w:hAnsi="Calibri" w:cs="Times New Roman"/>
          <w:sz w:val="24"/>
        </w:rPr>
        <w:t xml:space="preserve"> 58</w:t>
      </w:r>
      <w:r w:rsidR="00355FA3">
        <w:rPr>
          <w:rFonts w:ascii="Calibri" w:eastAsia="Calibri" w:hAnsi="Calibri" w:cs="Times New Roman"/>
          <w:sz w:val="24"/>
        </w:rPr>
        <w:t xml:space="preserve"> people per square mile</w:t>
      </w:r>
      <w:r w:rsidR="00803FC4" w:rsidRPr="00803FC4">
        <w:rPr>
          <w:rFonts w:ascii="Calibri" w:eastAsia="Calibri" w:hAnsi="Calibri" w:cs="Times New Roman"/>
          <w:sz w:val="24"/>
        </w:rPr>
        <w:t>.  Traverse Co</w:t>
      </w:r>
      <w:r w:rsidR="00355FA3">
        <w:rPr>
          <w:rFonts w:ascii="Calibri" w:eastAsia="Calibri" w:hAnsi="Calibri" w:cs="Times New Roman"/>
          <w:sz w:val="24"/>
        </w:rPr>
        <w:t>unty has the lowest ratio of 5.9</w:t>
      </w:r>
      <w:r w:rsidR="00803FC4" w:rsidRPr="00803FC4">
        <w:rPr>
          <w:rFonts w:ascii="Calibri" w:eastAsia="Calibri" w:hAnsi="Calibri" w:cs="Times New Roman"/>
          <w:sz w:val="24"/>
        </w:rPr>
        <w:t xml:space="preserve"> people per square mile preceded by</w:t>
      </w:r>
      <w:r w:rsidR="00355FA3">
        <w:rPr>
          <w:rFonts w:ascii="Calibri" w:eastAsia="Calibri" w:hAnsi="Calibri" w:cs="Times New Roman"/>
          <w:sz w:val="24"/>
        </w:rPr>
        <w:t xml:space="preserve"> Grant County with a ratio of 10.9</w:t>
      </w:r>
      <w:r w:rsidR="00803FC4" w:rsidRPr="00803FC4">
        <w:rPr>
          <w:rFonts w:ascii="Calibri" w:eastAsia="Calibri" w:hAnsi="Calibri" w:cs="Times New Roman"/>
          <w:sz w:val="24"/>
        </w:rPr>
        <w:t xml:space="preserve"> people per square mile. </w:t>
      </w:r>
    </w:p>
    <w:p w:rsidR="004919D0" w:rsidRDefault="004919D0" w:rsidP="009E2DD2">
      <w:pPr>
        <w:spacing w:after="200" w:line="276" w:lineRule="auto"/>
        <w:rPr>
          <w:rFonts w:ascii="Calibri" w:eastAsia="Calibri" w:hAnsi="Calibri" w:cs="Times New Roman"/>
          <w:sz w:val="24"/>
        </w:rPr>
      </w:pPr>
    </w:p>
    <w:p w:rsidR="004919D0" w:rsidRPr="009E2DD2" w:rsidRDefault="004919D0" w:rsidP="009E2DD2">
      <w:pPr>
        <w:spacing w:after="200" w:line="276" w:lineRule="auto"/>
        <w:rPr>
          <w:rFonts w:ascii="Calibri" w:eastAsia="Calibri" w:hAnsi="Calibri" w:cs="Times New Roman"/>
          <w:sz w:val="24"/>
        </w:rPr>
      </w:pPr>
    </w:p>
    <w:p w:rsidR="00F7658D" w:rsidRPr="00803FC4" w:rsidRDefault="00F7658D" w:rsidP="00AA0B4D">
      <w:pPr>
        <w:spacing w:after="200" w:line="240" w:lineRule="auto"/>
        <w:rPr>
          <w:rFonts w:ascii="Calibri" w:eastAsia="Calibri" w:hAnsi="Calibri" w:cs="Times New Roman"/>
          <w:sz w:val="24"/>
          <w:szCs w:val="24"/>
        </w:rPr>
      </w:pPr>
      <w:r w:rsidRPr="00803FC4">
        <w:rPr>
          <w:rFonts w:ascii="Calibri" w:eastAsia="Calibri" w:hAnsi="Calibri" w:cs="Times New Roman"/>
          <w:b/>
          <w:i/>
          <w:sz w:val="24"/>
        </w:rPr>
        <w:t>Total Land area of Minnesota</w:t>
      </w:r>
      <w:r>
        <w:rPr>
          <w:rFonts w:ascii="Calibri" w:eastAsia="Calibri" w:hAnsi="Calibri" w:cs="Times New Roman"/>
          <w:b/>
          <w:i/>
          <w:sz w:val="24"/>
        </w:rPr>
        <w:t xml:space="preserve">, </w:t>
      </w:r>
      <w:r w:rsidR="00187080">
        <w:rPr>
          <w:rFonts w:ascii="Calibri" w:eastAsia="Calibri" w:hAnsi="Calibri" w:cs="Times New Roman"/>
          <w:b/>
          <w:i/>
          <w:sz w:val="24"/>
        </w:rPr>
        <w:t>CHB service area</w:t>
      </w:r>
      <w:r>
        <w:rPr>
          <w:rFonts w:ascii="Calibri" w:eastAsia="Calibri" w:hAnsi="Calibri" w:cs="Times New Roman"/>
          <w:b/>
          <w:i/>
          <w:sz w:val="24"/>
        </w:rPr>
        <w:t>,</w:t>
      </w:r>
      <w:r w:rsidRPr="00803FC4">
        <w:rPr>
          <w:rFonts w:ascii="Calibri" w:eastAsia="Calibri" w:hAnsi="Calibri" w:cs="Times New Roman"/>
          <w:b/>
          <w:i/>
          <w:sz w:val="24"/>
        </w:rPr>
        <w:t xml:space="preserve"> and</w:t>
      </w:r>
      <w:r>
        <w:rPr>
          <w:rFonts w:ascii="Calibri" w:eastAsia="Calibri" w:hAnsi="Calibri" w:cs="Times New Roman"/>
          <w:b/>
          <w:i/>
          <w:sz w:val="24"/>
        </w:rPr>
        <w:t xml:space="preserve"> the</w:t>
      </w:r>
      <w:r w:rsidRPr="00803FC4">
        <w:rPr>
          <w:rFonts w:ascii="Calibri" w:eastAsia="Calibri" w:hAnsi="Calibri" w:cs="Times New Roman"/>
          <w:b/>
          <w:i/>
          <w:sz w:val="24"/>
        </w:rPr>
        <w:t xml:space="preserve"> five </w:t>
      </w:r>
      <w:r>
        <w:rPr>
          <w:rFonts w:ascii="Calibri" w:eastAsia="Calibri" w:hAnsi="Calibri" w:cs="Times New Roman"/>
          <w:b/>
          <w:i/>
          <w:sz w:val="24"/>
        </w:rPr>
        <w:t xml:space="preserve">individual </w:t>
      </w:r>
      <w:r w:rsidRPr="00803FC4">
        <w:rPr>
          <w:rFonts w:ascii="Calibri" w:eastAsia="Calibri" w:hAnsi="Calibri" w:cs="Times New Roman"/>
          <w:b/>
          <w:i/>
          <w:sz w:val="24"/>
        </w:rPr>
        <w:t>county areas:</w:t>
      </w:r>
    </w:p>
    <w:tbl>
      <w:tblPr>
        <w:tblpPr w:leftFromText="180" w:rightFromText="180" w:bottomFromText="200" w:vertAnchor="text" w:horzAnchor="margin" w:tblpXSpec="center" w:tblpY="82"/>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1293"/>
        <w:gridCol w:w="910"/>
        <w:gridCol w:w="1040"/>
        <w:gridCol w:w="882"/>
        <w:gridCol w:w="882"/>
        <w:gridCol w:w="993"/>
        <w:gridCol w:w="1133"/>
      </w:tblGrid>
      <w:tr w:rsidR="00AA0B4D" w:rsidRPr="00803FC4" w:rsidTr="003B3F87">
        <w:trPr>
          <w:trHeight w:val="315"/>
        </w:trPr>
        <w:tc>
          <w:tcPr>
            <w:tcW w:w="3382"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 </w:t>
            </w:r>
          </w:p>
        </w:tc>
        <w:tc>
          <w:tcPr>
            <w:tcW w:w="1293"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Minnesota</w:t>
            </w:r>
          </w:p>
        </w:tc>
        <w:tc>
          <w:tcPr>
            <w:tcW w:w="913" w:type="dxa"/>
            <w:tcBorders>
              <w:top w:val="single" w:sz="4" w:space="0" w:color="auto"/>
              <w:left w:val="single" w:sz="4" w:space="0" w:color="auto"/>
              <w:bottom w:val="single" w:sz="4" w:space="0" w:color="auto"/>
              <w:right w:val="single" w:sz="4" w:space="0" w:color="auto"/>
            </w:tcBorders>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CHB</w:t>
            </w:r>
          </w:p>
        </w:tc>
        <w:tc>
          <w:tcPr>
            <w:tcW w:w="1040"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Douglas</w:t>
            </w:r>
          </w:p>
        </w:tc>
        <w:tc>
          <w:tcPr>
            <w:tcW w:w="882"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Grant</w:t>
            </w:r>
          </w:p>
        </w:tc>
        <w:tc>
          <w:tcPr>
            <w:tcW w:w="882"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Pope</w:t>
            </w:r>
          </w:p>
        </w:tc>
        <w:tc>
          <w:tcPr>
            <w:tcW w:w="990"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Stevens</w:t>
            </w:r>
          </w:p>
        </w:tc>
        <w:tc>
          <w:tcPr>
            <w:tcW w:w="1133"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jc w:val="right"/>
              <w:rPr>
                <w:rFonts w:ascii="Calibri" w:eastAsia="Times New Roman" w:hAnsi="Calibri" w:cs="Times New Roman"/>
                <w:b/>
                <w:bCs/>
                <w:color w:val="000000"/>
                <w:sz w:val="24"/>
                <w:szCs w:val="24"/>
              </w:rPr>
            </w:pPr>
            <w:r w:rsidRPr="00803FC4">
              <w:rPr>
                <w:rFonts w:ascii="Calibri" w:eastAsia="Times New Roman" w:hAnsi="Calibri" w:cs="Times New Roman"/>
                <w:b/>
                <w:bCs/>
                <w:color w:val="000000"/>
                <w:sz w:val="24"/>
                <w:szCs w:val="24"/>
              </w:rPr>
              <w:t>Traverse</w:t>
            </w:r>
          </w:p>
        </w:tc>
      </w:tr>
      <w:tr w:rsidR="00AA0B4D" w:rsidRPr="00803FC4" w:rsidTr="003B3F87">
        <w:trPr>
          <w:trHeight w:val="315"/>
        </w:trPr>
        <w:tc>
          <w:tcPr>
            <w:tcW w:w="3382"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Land area in square miles, 2014</w:t>
            </w:r>
          </w:p>
        </w:tc>
        <w:tc>
          <w:tcPr>
            <w:tcW w:w="1293"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79,617</w:t>
            </w:r>
          </w:p>
        </w:tc>
        <w:tc>
          <w:tcPr>
            <w:tcW w:w="913" w:type="dxa"/>
            <w:tcBorders>
              <w:top w:val="single" w:sz="4" w:space="0" w:color="auto"/>
              <w:left w:val="single" w:sz="4" w:space="0" w:color="auto"/>
              <w:bottom w:val="single" w:sz="4" w:space="0" w:color="auto"/>
              <w:right w:val="single" w:sz="4" w:space="0" w:color="auto"/>
            </w:tcBorders>
            <w:shd w:val="clear" w:color="auto" w:fill="9BBB59"/>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2,987</w:t>
            </w:r>
          </w:p>
        </w:tc>
        <w:tc>
          <w:tcPr>
            <w:tcW w:w="104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634</w:t>
            </w:r>
          </w:p>
        </w:tc>
        <w:tc>
          <w:tcPr>
            <w:tcW w:w="882" w:type="dxa"/>
            <w:tcBorders>
              <w:top w:val="single" w:sz="4" w:space="0" w:color="auto"/>
              <w:left w:val="single" w:sz="4" w:space="0" w:color="auto"/>
              <w:bottom w:val="single" w:sz="4" w:space="0" w:color="auto"/>
              <w:right w:val="single" w:sz="4" w:space="0" w:color="auto"/>
            </w:tcBorders>
            <w:shd w:val="clear" w:color="auto" w:fill="8064A2"/>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547</w:t>
            </w:r>
          </w:p>
        </w:tc>
        <w:tc>
          <w:tcPr>
            <w:tcW w:w="882" w:type="dxa"/>
            <w:tcBorders>
              <w:top w:val="single" w:sz="4" w:space="0" w:color="auto"/>
              <w:left w:val="single" w:sz="4" w:space="0" w:color="auto"/>
              <w:bottom w:val="single" w:sz="4" w:space="0" w:color="auto"/>
              <w:right w:val="single" w:sz="4" w:space="0" w:color="auto"/>
            </w:tcBorders>
            <w:shd w:val="clear" w:color="auto" w:fill="4BACC6"/>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670</w:t>
            </w:r>
          </w:p>
        </w:tc>
        <w:tc>
          <w:tcPr>
            <w:tcW w:w="990"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562</w:t>
            </w:r>
          </w:p>
        </w:tc>
        <w:tc>
          <w:tcPr>
            <w:tcW w:w="1133" w:type="dxa"/>
            <w:tcBorders>
              <w:top w:val="single" w:sz="4" w:space="0" w:color="auto"/>
              <w:left w:val="single" w:sz="4" w:space="0" w:color="auto"/>
              <w:bottom w:val="single" w:sz="4" w:space="0" w:color="auto"/>
              <w:right w:val="single" w:sz="4" w:space="0" w:color="auto"/>
            </w:tcBorders>
            <w:shd w:val="clear" w:color="auto" w:fill="B8CCE4"/>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574</w:t>
            </w:r>
          </w:p>
        </w:tc>
      </w:tr>
      <w:tr w:rsidR="00AA0B4D" w:rsidRPr="00803FC4" w:rsidTr="003B3F87">
        <w:trPr>
          <w:trHeight w:val="315"/>
        </w:trPr>
        <w:tc>
          <w:tcPr>
            <w:tcW w:w="3382" w:type="dxa"/>
            <w:tcBorders>
              <w:top w:val="single" w:sz="4" w:space="0" w:color="auto"/>
              <w:left w:val="single" w:sz="4" w:space="0" w:color="auto"/>
              <w:bottom w:val="single" w:sz="4" w:space="0" w:color="auto"/>
              <w:right w:val="single" w:sz="4" w:space="0" w:color="auto"/>
            </w:tcBorders>
            <w:noWrap/>
            <w:vAlign w:val="bottom"/>
            <w:hideMark/>
          </w:tcPr>
          <w:p w:rsidR="00AA0B4D" w:rsidRPr="00803FC4" w:rsidRDefault="00AA0B4D" w:rsidP="003B3F87">
            <w:pPr>
              <w:spacing w:after="0" w:line="240" w:lineRule="auto"/>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Persons per square mile, 2014</w:t>
            </w:r>
          </w:p>
        </w:tc>
        <w:tc>
          <w:tcPr>
            <w:tcW w:w="1293"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68.5</w:t>
            </w:r>
          </w:p>
        </w:tc>
        <w:tc>
          <w:tcPr>
            <w:tcW w:w="913" w:type="dxa"/>
            <w:tcBorders>
              <w:top w:val="single" w:sz="4" w:space="0" w:color="auto"/>
              <w:left w:val="single" w:sz="4" w:space="0" w:color="auto"/>
              <w:bottom w:val="single" w:sz="4" w:space="0" w:color="auto"/>
              <w:right w:val="single" w:sz="4" w:space="0" w:color="auto"/>
            </w:tcBorders>
            <w:shd w:val="clear" w:color="auto" w:fill="9BBB59"/>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22.4</w:t>
            </w:r>
          </w:p>
        </w:tc>
        <w:tc>
          <w:tcPr>
            <w:tcW w:w="104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58</w:t>
            </w:r>
          </w:p>
        </w:tc>
        <w:tc>
          <w:tcPr>
            <w:tcW w:w="882" w:type="dxa"/>
            <w:tcBorders>
              <w:top w:val="single" w:sz="4" w:space="0" w:color="auto"/>
              <w:left w:val="single" w:sz="4" w:space="0" w:color="auto"/>
              <w:bottom w:val="single" w:sz="4" w:space="0" w:color="auto"/>
              <w:right w:val="single" w:sz="4" w:space="0" w:color="auto"/>
            </w:tcBorders>
            <w:shd w:val="clear" w:color="auto" w:fill="8064A2"/>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10.9</w:t>
            </w:r>
          </w:p>
        </w:tc>
        <w:tc>
          <w:tcPr>
            <w:tcW w:w="882" w:type="dxa"/>
            <w:tcBorders>
              <w:top w:val="single" w:sz="4" w:space="0" w:color="auto"/>
              <w:left w:val="single" w:sz="4" w:space="0" w:color="auto"/>
              <w:bottom w:val="single" w:sz="4" w:space="0" w:color="auto"/>
              <w:right w:val="single" w:sz="4" w:space="0" w:color="auto"/>
            </w:tcBorders>
            <w:shd w:val="clear" w:color="auto" w:fill="4BACC6"/>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16.4</w:t>
            </w:r>
          </w:p>
        </w:tc>
        <w:tc>
          <w:tcPr>
            <w:tcW w:w="990" w:type="dxa"/>
            <w:tcBorders>
              <w:top w:val="single" w:sz="4" w:space="0" w:color="auto"/>
              <w:left w:val="single" w:sz="4" w:space="0" w:color="auto"/>
              <w:bottom w:val="single" w:sz="4" w:space="0" w:color="auto"/>
              <w:right w:val="single" w:sz="4" w:space="0" w:color="auto"/>
            </w:tcBorders>
            <w:shd w:val="clear" w:color="auto" w:fill="F79646"/>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17.4</w:t>
            </w:r>
          </w:p>
        </w:tc>
        <w:tc>
          <w:tcPr>
            <w:tcW w:w="1133" w:type="dxa"/>
            <w:tcBorders>
              <w:top w:val="single" w:sz="4" w:space="0" w:color="auto"/>
              <w:left w:val="single" w:sz="4" w:space="0" w:color="auto"/>
              <w:bottom w:val="single" w:sz="4" w:space="0" w:color="auto"/>
              <w:right w:val="single" w:sz="4" w:space="0" w:color="auto"/>
            </w:tcBorders>
            <w:shd w:val="clear" w:color="auto" w:fill="B8CCE4"/>
            <w:noWrap/>
            <w:vAlign w:val="bottom"/>
            <w:hideMark/>
          </w:tcPr>
          <w:p w:rsidR="00AA0B4D" w:rsidRPr="00803FC4" w:rsidRDefault="00AA0B4D" w:rsidP="003B3F87">
            <w:pPr>
              <w:spacing w:after="0" w:line="240" w:lineRule="auto"/>
              <w:jc w:val="right"/>
              <w:rPr>
                <w:rFonts w:ascii="Calibri" w:eastAsia="Times New Roman" w:hAnsi="Calibri" w:cs="Times New Roman"/>
                <w:color w:val="000000"/>
                <w:sz w:val="24"/>
                <w:szCs w:val="24"/>
              </w:rPr>
            </w:pPr>
            <w:r w:rsidRPr="00803FC4">
              <w:rPr>
                <w:rFonts w:ascii="Calibri" w:eastAsia="Times New Roman" w:hAnsi="Calibri" w:cs="Times New Roman"/>
                <w:color w:val="000000"/>
                <w:sz w:val="24"/>
                <w:szCs w:val="24"/>
              </w:rPr>
              <w:t>5.9</w:t>
            </w:r>
          </w:p>
        </w:tc>
      </w:tr>
    </w:tbl>
    <w:p w:rsidR="00AA0B4D" w:rsidRPr="00F7658D" w:rsidRDefault="00F7658D" w:rsidP="00AA0B4D">
      <w:pPr>
        <w:spacing w:after="200" w:line="240" w:lineRule="auto"/>
        <w:rPr>
          <w:rFonts w:ascii="Calibri" w:eastAsia="Calibri" w:hAnsi="Calibri" w:cs="Times New Roman"/>
          <w:i/>
        </w:rPr>
      </w:pPr>
      <w:r w:rsidRPr="00F7658D">
        <w:rPr>
          <w:rFonts w:ascii="Calibri" w:eastAsia="Calibri" w:hAnsi="Calibri" w:cs="Times New Roman"/>
          <w:i/>
        </w:rPr>
        <w:t>Source: U.S. Census Bureau</w:t>
      </w:r>
      <w:r w:rsidR="009E2DD2">
        <w:rPr>
          <w:rFonts w:ascii="Calibri" w:eastAsia="Calibri" w:hAnsi="Calibri" w:cs="Times New Roman"/>
          <w:i/>
        </w:rPr>
        <w:t>, 2014</w:t>
      </w:r>
    </w:p>
    <w:p w:rsidR="00135CD5" w:rsidRDefault="00135CD5" w:rsidP="00C808EA">
      <w:pPr>
        <w:spacing w:after="200" w:line="276" w:lineRule="auto"/>
        <w:rPr>
          <w:rFonts w:ascii="Cambria" w:eastAsia="Times New Roman" w:hAnsi="Cambria" w:cs="Times New Roman"/>
          <w:b/>
          <w:bCs/>
          <w:sz w:val="32"/>
          <w:szCs w:val="26"/>
        </w:rPr>
      </w:pPr>
    </w:p>
    <w:p w:rsidR="000941FF" w:rsidRDefault="000941FF" w:rsidP="00C808EA">
      <w:pPr>
        <w:spacing w:after="200" w:line="276" w:lineRule="auto"/>
        <w:rPr>
          <w:rFonts w:ascii="Cambria" w:eastAsia="Times New Roman" w:hAnsi="Cambria" w:cs="Times New Roman"/>
          <w:b/>
          <w:bCs/>
          <w:sz w:val="32"/>
          <w:szCs w:val="26"/>
        </w:rPr>
      </w:pPr>
    </w:p>
    <w:p w:rsidR="004919D0" w:rsidRDefault="004919D0" w:rsidP="00C808EA">
      <w:pPr>
        <w:spacing w:after="200" w:line="276" w:lineRule="auto"/>
        <w:rPr>
          <w:rFonts w:ascii="Cambria" w:eastAsia="Times New Roman" w:hAnsi="Cambria" w:cs="Times New Roman"/>
          <w:b/>
          <w:bCs/>
          <w:sz w:val="32"/>
          <w:szCs w:val="26"/>
        </w:rPr>
      </w:pPr>
    </w:p>
    <w:p w:rsidR="004919D0" w:rsidRDefault="004919D0" w:rsidP="00C808EA">
      <w:pPr>
        <w:spacing w:after="200" w:line="276" w:lineRule="auto"/>
        <w:rPr>
          <w:rFonts w:ascii="Cambria" w:eastAsia="Times New Roman" w:hAnsi="Cambria" w:cs="Times New Roman"/>
          <w:b/>
          <w:bCs/>
          <w:sz w:val="32"/>
          <w:szCs w:val="26"/>
        </w:rPr>
      </w:pPr>
    </w:p>
    <w:p w:rsidR="00803FC4" w:rsidRPr="00803FC4" w:rsidRDefault="00803FC4" w:rsidP="00C808EA">
      <w:pPr>
        <w:spacing w:after="200" w:line="276" w:lineRule="auto"/>
        <w:rPr>
          <w:rFonts w:ascii="Cambria" w:eastAsia="Times New Roman" w:hAnsi="Cambria" w:cs="Times New Roman"/>
          <w:color w:val="323E4F" w:themeColor="text2" w:themeShade="BF"/>
          <w:spacing w:val="5"/>
          <w:kern w:val="28"/>
          <w:sz w:val="52"/>
          <w:szCs w:val="52"/>
        </w:rPr>
      </w:pPr>
      <w:r w:rsidRPr="00803FC4">
        <w:rPr>
          <w:rFonts w:ascii="Cambria" w:eastAsia="Times New Roman" w:hAnsi="Cambria" w:cs="Times New Roman"/>
          <w:color w:val="323E4F" w:themeColor="text2" w:themeShade="BF"/>
          <w:spacing w:val="5"/>
          <w:kern w:val="28"/>
          <w:sz w:val="52"/>
          <w:szCs w:val="52"/>
        </w:rPr>
        <w:lastRenderedPageBreak/>
        <w:t>The Opportunity for Health</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 xml:space="preserve">The opportunity for health for many Minnesotans begins with their families, neighborhoods, workplaces, and schools – where Minnesotans live, love, worship, play, work, and learn.  </w:t>
      </w: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Education and Employment</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Education is an important pred</w:t>
      </w:r>
      <w:r w:rsidR="003C7A4B">
        <w:rPr>
          <w:rFonts w:ascii="Calibri" w:eastAsia="Calibri" w:hAnsi="Calibri" w:cs="Times New Roman"/>
          <w:sz w:val="24"/>
        </w:rPr>
        <w:t>ictor of health because it ca</w:t>
      </w:r>
      <w:r w:rsidR="00470A37">
        <w:rPr>
          <w:rFonts w:ascii="Calibri" w:eastAsia="Calibri" w:hAnsi="Calibri" w:cs="Times New Roman"/>
          <w:sz w:val="24"/>
        </w:rPr>
        <w:t>n shape and positively impact a</w:t>
      </w:r>
      <w:r w:rsidR="003C7A4B">
        <w:rPr>
          <w:rFonts w:ascii="Calibri" w:eastAsia="Calibri" w:hAnsi="Calibri" w:cs="Times New Roman"/>
          <w:sz w:val="24"/>
        </w:rPr>
        <w:t xml:space="preserve"> person’</w:t>
      </w:r>
      <w:r w:rsidR="00470A37">
        <w:rPr>
          <w:rFonts w:ascii="Calibri" w:eastAsia="Calibri" w:hAnsi="Calibri" w:cs="Times New Roman"/>
          <w:sz w:val="24"/>
        </w:rPr>
        <w:t>s life</w:t>
      </w:r>
      <w:r w:rsidRPr="00803FC4">
        <w:rPr>
          <w:rFonts w:ascii="Calibri" w:eastAsia="Calibri" w:hAnsi="Calibri" w:cs="Times New Roman"/>
          <w:sz w:val="24"/>
        </w:rPr>
        <w:t>.  Investment in education can be “the single most effective intervention we can make to improve health outcomes and tackle inequities.”</w:t>
      </w:r>
      <w:r w:rsidRPr="00803FC4">
        <w:rPr>
          <w:rFonts w:ascii="Calibri" w:eastAsia="Calibri" w:hAnsi="Calibri" w:cs="Times New Roman"/>
          <w:sz w:val="24"/>
          <w:vertAlign w:val="superscript"/>
        </w:rPr>
        <w:endnoteReference w:id="5"/>
      </w:r>
      <w:r w:rsidRPr="00803FC4">
        <w:rPr>
          <w:rFonts w:ascii="Calibri" w:eastAsia="Calibri" w:hAnsi="Calibri" w:cs="Times New Roman"/>
          <w:sz w:val="24"/>
        </w:rPr>
        <w:t xml:space="preserve">  </w:t>
      </w:r>
    </w:p>
    <w:p w:rsid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Health can affect learning at all ages, from early childhood through adolescence, to adulthood.  “Early reading and literacy stimulate brain development in young learners, help develop their analytical and communication skills, and influence their intellect and behavioral patterns.”</w:t>
      </w:r>
      <w:r w:rsidRPr="00803FC4">
        <w:rPr>
          <w:rFonts w:ascii="Calibri" w:eastAsia="Calibri" w:hAnsi="Calibri" w:cs="Times New Roman"/>
          <w:sz w:val="24"/>
          <w:vertAlign w:val="superscript"/>
        </w:rPr>
        <w:endnoteReference w:id="6"/>
      </w:r>
      <w:r w:rsidR="003C7A4B">
        <w:rPr>
          <w:rFonts w:ascii="Calibri" w:eastAsia="Calibri" w:hAnsi="Calibri" w:cs="Times New Roman"/>
          <w:sz w:val="24"/>
        </w:rPr>
        <w:t xml:space="preserve">  These events then can construct</w:t>
      </w:r>
      <w:r w:rsidRPr="00803FC4">
        <w:rPr>
          <w:rFonts w:ascii="Calibri" w:eastAsia="Calibri" w:hAnsi="Calibri" w:cs="Times New Roman"/>
          <w:sz w:val="24"/>
        </w:rPr>
        <w:t xml:space="preserve"> future opportunities and achievement</w:t>
      </w:r>
      <w:r w:rsidR="003C7A4B">
        <w:rPr>
          <w:rFonts w:ascii="Calibri" w:eastAsia="Calibri" w:hAnsi="Calibri" w:cs="Times New Roman"/>
          <w:sz w:val="24"/>
        </w:rPr>
        <w:t>s</w:t>
      </w:r>
      <w:r w:rsidRPr="00803FC4">
        <w:rPr>
          <w:rFonts w:ascii="Calibri" w:eastAsia="Calibri" w:hAnsi="Calibri" w:cs="Times New Roman"/>
          <w:sz w:val="24"/>
        </w:rPr>
        <w:t xml:space="preserve"> for individuals.</w:t>
      </w:r>
    </w:p>
    <w:p w:rsidR="000941FF" w:rsidRPr="004919D0" w:rsidRDefault="00470A37" w:rsidP="00803FC4">
      <w:pPr>
        <w:spacing w:after="200" w:line="276" w:lineRule="auto"/>
        <w:rPr>
          <w:rFonts w:ascii="Calibri" w:eastAsia="Calibri" w:hAnsi="Calibri" w:cs="Times New Roman"/>
          <w:sz w:val="24"/>
        </w:rPr>
      </w:pPr>
      <w:r>
        <w:rPr>
          <w:rFonts w:ascii="Calibri" w:eastAsia="Calibri" w:hAnsi="Calibri" w:cs="Times New Roman"/>
          <w:sz w:val="24"/>
        </w:rPr>
        <w:t>Overall</w:t>
      </w:r>
      <w:r w:rsidR="00803FC4" w:rsidRPr="00803FC4">
        <w:rPr>
          <w:rFonts w:ascii="Calibri" w:eastAsia="Calibri" w:hAnsi="Calibri" w:cs="Times New Roman"/>
          <w:sz w:val="24"/>
        </w:rPr>
        <w:t xml:space="preserve">, there </w:t>
      </w:r>
      <w:r w:rsidR="004F6A9E" w:rsidRPr="00803FC4">
        <w:rPr>
          <w:rFonts w:ascii="Calibri" w:eastAsia="Calibri" w:hAnsi="Calibri" w:cs="Times New Roman"/>
          <w:sz w:val="24"/>
        </w:rPr>
        <w:t>are</w:t>
      </w:r>
      <w:r w:rsidR="00803FC4" w:rsidRPr="00803FC4">
        <w:rPr>
          <w:rFonts w:ascii="Calibri" w:eastAsia="Calibri" w:hAnsi="Calibri" w:cs="Times New Roman"/>
          <w:sz w:val="24"/>
        </w:rPr>
        <w:t xml:space="preserve"> a higher percentage of high school students graduating on time within the Horizon </w:t>
      </w:r>
      <w:r w:rsidR="00135CD5">
        <w:rPr>
          <w:rFonts w:ascii="Calibri" w:eastAsia="Calibri" w:hAnsi="Calibri" w:cs="Times New Roman"/>
          <w:sz w:val="24"/>
        </w:rPr>
        <w:t>CHB counties</w:t>
      </w:r>
      <w:r w:rsidR="00803FC4" w:rsidRPr="00803FC4">
        <w:rPr>
          <w:rFonts w:ascii="Calibri" w:eastAsia="Calibri" w:hAnsi="Calibri" w:cs="Times New Roman"/>
          <w:sz w:val="24"/>
        </w:rPr>
        <w:t xml:space="preserve"> as compared t</w:t>
      </w:r>
      <w:r w:rsidR="007C12CA">
        <w:rPr>
          <w:rFonts w:ascii="Calibri" w:eastAsia="Calibri" w:hAnsi="Calibri" w:cs="Times New Roman"/>
          <w:sz w:val="24"/>
        </w:rPr>
        <w:t>o Minnesota as a whole from 2010</w:t>
      </w:r>
      <w:r>
        <w:rPr>
          <w:rFonts w:ascii="Calibri" w:eastAsia="Calibri" w:hAnsi="Calibri" w:cs="Times New Roman"/>
          <w:sz w:val="24"/>
        </w:rPr>
        <w:t xml:space="preserve"> to 2013 graduating years.  In 201</w:t>
      </w:r>
      <w:r w:rsidR="007C12CA">
        <w:rPr>
          <w:rFonts w:ascii="Calibri" w:eastAsia="Calibri" w:hAnsi="Calibri" w:cs="Times New Roman"/>
          <w:sz w:val="24"/>
        </w:rPr>
        <w:t>3, Minnesota had 78.4</w:t>
      </w:r>
      <w:r w:rsidR="00803FC4" w:rsidRPr="00803FC4">
        <w:rPr>
          <w:rFonts w:ascii="Calibri" w:eastAsia="Calibri" w:hAnsi="Calibri" w:cs="Times New Roman"/>
          <w:sz w:val="24"/>
        </w:rPr>
        <w:t>% of its high school s</w:t>
      </w:r>
      <w:r w:rsidR="00BD614F">
        <w:rPr>
          <w:rFonts w:ascii="Calibri" w:eastAsia="Calibri" w:hAnsi="Calibri" w:cs="Times New Roman"/>
          <w:sz w:val="24"/>
        </w:rPr>
        <w:t>tudent population</w:t>
      </w:r>
      <w:r w:rsidR="00351116">
        <w:rPr>
          <w:rFonts w:ascii="Calibri" w:eastAsia="Calibri" w:hAnsi="Calibri" w:cs="Times New Roman"/>
          <w:sz w:val="24"/>
        </w:rPr>
        <w:t xml:space="preserve"> graduate on time</w:t>
      </w:r>
      <w:r w:rsidR="007C12CA">
        <w:rPr>
          <w:rFonts w:ascii="Calibri" w:eastAsia="Calibri" w:hAnsi="Calibri" w:cs="Times New Roman"/>
          <w:sz w:val="24"/>
        </w:rPr>
        <w:t>. In this same year, Grant</w:t>
      </w:r>
      <w:r w:rsidR="00803FC4" w:rsidRPr="00803FC4">
        <w:rPr>
          <w:rFonts w:ascii="Calibri" w:eastAsia="Calibri" w:hAnsi="Calibri" w:cs="Times New Roman"/>
          <w:sz w:val="24"/>
        </w:rPr>
        <w:t xml:space="preserve"> County had </w:t>
      </w:r>
      <w:r w:rsidR="007C12CA">
        <w:rPr>
          <w:rFonts w:ascii="Calibri" w:eastAsia="Calibri" w:hAnsi="Calibri" w:cs="Times New Roman"/>
          <w:sz w:val="24"/>
        </w:rPr>
        <w:t>97.4</w:t>
      </w:r>
      <w:r w:rsidR="00351116">
        <w:rPr>
          <w:rFonts w:ascii="Calibri" w:eastAsia="Calibri" w:hAnsi="Calibri" w:cs="Times New Roman"/>
          <w:sz w:val="24"/>
        </w:rPr>
        <w:t xml:space="preserve">% </w:t>
      </w:r>
      <w:r w:rsidR="00803FC4" w:rsidRPr="00803FC4">
        <w:rPr>
          <w:rFonts w:ascii="Calibri" w:eastAsia="Calibri" w:hAnsi="Calibri" w:cs="Times New Roman"/>
          <w:sz w:val="24"/>
        </w:rPr>
        <w:t>of its high school student</w:t>
      </w:r>
      <w:r w:rsidR="00BD614F">
        <w:rPr>
          <w:rFonts w:ascii="Calibri" w:eastAsia="Calibri" w:hAnsi="Calibri" w:cs="Times New Roman"/>
          <w:sz w:val="24"/>
        </w:rPr>
        <w:t xml:space="preserve"> population</w:t>
      </w:r>
      <w:r w:rsidR="00803FC4" w:rsidRPr="00803FC4">
        <w:rPr>
          <w:rFonts w:ascii="Calibri" w:eastAsia="Calibri" w:hAnsi="Calibri" w:cs="Times New Roman"/>
          <w:sz w:val="24"/>
        </w:rPr>
        <w:t xml:space="preserve"> graduate</w:t>
      </w:r>
      <w:r w:rsidR="00BD614F">
        <w:rPr>
          <w:rFonts w:ascii="Calibri" w:eastAsia="Calibri" w:hAnsi="Calibri" w:cs="Times New Roman"/>
          <w:sz w:val="24"/>
        </w:rPr>
        <w:t xml:space="preserve"> on time.  The county with the low</w:t>
      </w:r>
      <w:r w:rsidR="00803FC4" w:rsidRPr="00803FC4">
        <w:rPr>
          <w:rFonts w:ascii="Calibri" w:eastAsia="Calibri" w:hAnsi="Calibri" w:cs="Times New Roman"/>
          <w:sz w:val="24"/>
        </w:rPr>
        <w:t>est percent of high school students graduating on t</w:t>
      </w:r>
      <w:r w:rsidR="00351116">
        <w:rPr>
          <w:rFonts w:ascii="Calibri" w:eastAsia="Calibri" w:hAnsi="Calibri" w:cs="Times New Roman"/>
          <w:sz w:val="24"/>
        </w:rPr>
        <w:t>ime was Douglas Coun</w:t>
      </w:r>
      <w:r w:rsidR="007C12CA">
        <w:rPr>
          <w:rFonts w:ascii="Calibri" w:eastAsia="Calibri" w:hAnsi="Calibri" w:cs="Times New Roman"/>
          <w:sz w:val="24"/>
        </w:rPr>
        <w:t>ty with 79.9</w:t>
      </w:r>
      <w:r w:rsidR="00351116">
        <w:rPr>
          <w:rFonts w:ascii="Calibri" w:eastAsia="Calibri" w:hAnsi="Calibri" w:cs="Times New Roman"/>
          <w:sz w:val="24"/>
        </w:rPr>
        <w:t xml:space="preserve">%. However, despite Douglas County having </w:t>
      </w:r>
      <w:r w:rsidR="00BD614F">
        <w:rPr>
          <w:rFonts w:ascii="Calibri" w:eastAsia="Calibri" w:hAnsi="Calibri" w:cs="Times New Roman"/>
          <w:sz w:val="24"/>
        </w:rPr>
        <w:t xml:space="preserve">the lowest </w:t>
      </w:r>
      <w:r w:rsidR="00351116">
        <w:rPr>
          <w:rFonts w:ascii="Calibri" w:eastAsia="Calibri" w:hAnsi="Calibri" w:cs="Times New Roman"/>
          <w:sz w:val="24"/>
        </w:rPr>
        <w:t>percentage</w:t>
      </w:r>
      <w:r w:rsidR="00BD614F">
        <w:rPr>
          <w:rFonts w:ascii="Calibri" w:eastAsia="Calibri" w:hAnsi="Calibri" w:cs="Times New Roman"/>
          <w:sz w:val="24"/>
        </w:rPr>
        <w:t xml:space="preserve"> of the 5 counties</w:t>
      </w:r>
      <w:r w:rsidR="00351116">
        <w:rPr>
          <w:rFonts w:ascii="Calibri" w:eastAsia="Calibri" w:hAnsi="Calibri" w:cs="Times New Roman"/>
          <w:sz w:val="24"/>
        </w:rPr>
        <w:t xml:space="preserve">, </w:t>
      </w:r>
      <w:r w:rsidR="003815BF">
        <w:rPr>
          <w:rFonts w:ascii="Calibri" w:eastAsia="Calibri" w:hAnsi="Calibri" w:cs="Times New Roman"/>
          <w:sz w:val="24"/>
        </w:rPr>
        <w:t>its graduation rate</w:t>
      </w:r>
      <w:r w:rsidR="00803FC4" w:rsidRPr="00803FC4">
        <w:rPr>
          <w:rFonts w:ascii="Calibri" w:eastAsia="Calibri" w:hAnsi="Calibri" w:cs="Times New Roman"/>
          <w:sz w:val="24"/>
        </w:rPr>
        <w:t xml:space="preserve"> was still higher than the state percentage of high school graduates.</w:t>
      </w:r>
      <w:r w:rsidR="007C12CA">
        <w:rPr>
          <w:rFonts w:ascii="Calibri" w:eastAsia="Calibri" w:hAnsi="Calibri" w:cs="Times New Roman"/>
          <w:sz w:val="24"/>
        </w:rPr>
        <w:t xml:space="preserve"> </w:t>
      </w:r>
    </w:p>
    <w:p w:rsidR="007C12CA" w:rsidRPr="0014506A" w:rsidRDefault="0014506A" w:rsidP="00803FC4">
      <w:pPr>
        <w:spacing w:after="200" w:line="276" w:lineRule="auto"/>
        <w:rPr>
          <w:rFonts w:ascii="Calibri" w:eastAsia="Calibri" w:hAnsi="Calibri" w:cs="Times New Roman"/>
          <w:b/>
          <w:i/>
          <w:sz w:val="24"/>
        </w:rPr>
      </w:pPr>
      <w:r w:rsidRPr="0014506A">
        <w:rPr>
          <w:rFonts w:ascii="Calibri" w:eastAsia="Calibri" w:hAnsi="Calibri" w:cs="Times New Roman"/>
          <w:b/>
          <w:i/>
          <w:sz w:val="24"/>
        </w:rPr>
        <w:t>Students Graduating on Time</w:t>
      </w:r>
    </w:p>
    <w:p w:rsidR="007C12CA" w:rsidRPr="00803FC4" w:rsidRDefault="007C12CA" w:rsidP="00803FC4">
      <w:pPr>
        <w:spacing w:after="200" w:line="276" w:lineRule="auto"/>
        <w:rPr>
          <w:rFonts w:ascii="Calibri" w:eastAsia="Calibri" w:hAnsi="Calibri" w:cs="Times New Roman"/>
          <w:sz w:val="24"/>
        </w:rPr>
      </w:pPr>
      <w:r>
        <w:rPr>
          <w:rFonts w:ascii="Calibri" w:eastAsia="Calibri" w:hAnsi="Calibri" w:cs="Times New Roman"/>
          <w:noProof/>
          <w:sz w:val="24"/>
        </w:rPr>
        <w:drawing>
          <wp:inline distT="0" distB="0" distL="0" distR="0" wp14:anchorId="6F9DC04C" wp14:editId="11E71D85">
            <wp:extent cx="6096000" cy="23145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12CA" w:rsidRPr="007C12CA" w:rsidRDefault="007C12CA" w:rsidP="00351116">
      <w:pPr>
        <w:spacing w:after="0" w:line="240" w:lineRule="auto"/>
        <w:rPr>
          <w:rFonts w:ascii="Calibri" w:eastAsia="Times New Roman" w:hAnsi="Calibri" w:cs="Times New Roman"/>
          <w:i/>
          <w:sz w:val="20"/>
          <w:szCs w:val="20"/>
        </w:rPr>
      </w:pPr>
      <w:r w:rsidRPr="007C12CA">
        <w:rPr>
          <w:rFonts w:ascii="Calibri" w:eastAsia="Times New Roman" w:hAnsi="Calibri" w:cs="Times New Roman"/>
          <w:i/>
          <w:sz w:val="20"/>
          <w:szCs w:val="20"/>
        </w:rPr>
        <w:t>Source: Minnesota Center for Health Statistics, 1994-2013</w:t>
      </w:r>
    </w:p>
    <w:p w:rsidR="00803FC4" w:rsidRPr="00803FC4" w:rsidRDefault="007C12CA" w:rsidP="00351116">
      <w:pPr>
        <w:spacing w:after="0" w:line="240" w:lineRule="auto"/>
        <w:rPr>
          <w:rFonts w:ascii="Calibri" w:eastAsia="Times New Roman" w:hAnsi="Calibri" w:cs="Times New Roman"/>
          <w:i/>
        </w:rPr>
      </w:pPr>
      <w:r w:rsidRPr="007C12CA">
        <w:rPr>
          <w:rFonts w:ascii="Calibri" w:eastAsia="Times New Roman" w:hAnsi="Calibri" w:cs="Times New Roman"/>
          <w:i/>
          <w:sz w:val="20"/>
          <w:szCs w:val="20"/>
        </w:rPr>
        <w:t xml:space="preserve">Data unavailable for Traverse County </w:t>
      </w:r>
      <w:r w:rsidR="003C7218">
        <w:rPr>
          <w:rFonts w:ascii="Calibri" w:eastAsia="Times New Roman" w:hAnsi="Calibri" w:cs="Times New Roman"/>
          <w:i/>
          <w:sz w:val="20"/>
          <w:szCs w:val="20"/>
        </w:rPr>
        <w:t xml:space="preserve">for 2010-2012 school year </w:t>
      </w:r>
      <w:r w:rsidRPr="007C12CA">
        <w:rPr>
          <w:rFonts w:ascii="Calibri" w:eastAsia="Times New Roman" w:hAnsi="Calibri" w:cs="Times New Roman"/>
          <w:i/>
          <w:sz w:val="20"/>
          <w:szCs w:val="20"/>
        </w:rPr>
        <w:t xml:space="preserve">and </w:t>
      </w:r>
      <w:r w:rsidR="00187080">
        <w:rPr>
          <w:rFonts w:ascii="Calibri" w:eastAsia="Times New Roman" w:hAnsi="Calibri" w:cs="Times New Roman"/>
          <w:i/>
          <w:sz w:val="20"/>
          <w:szCs w:val="20"/>
        </w:rPr>
        <w:t>CHB service area</w:t>
      </w:r>
      <w:r w:rsidRPr="007C12CA">
        <w:rPr>
          <w:rFonts w:ascii="Calibri" w:eastAsia="Times New Roman" w:hAnsi="Calibri" w:cs="Times New Roman"/>
          <w:i/>
          <w:sz w:val="20"/>
          <w:szCs w:val="20"/>
        </w:rPr>
        <w:t xml:space="preserve"> for 2010-2011 school year</w:t>
      </w:r>
      <w:r>
        <w:rPr>
          <w:rFonts w:ascii="Calibri" w:eastAsia="Times New Roman" w:hAnsi="Calibri" w:cs="Times New Roman"/>
          <w:i/>
        </w:rPr>
        <w:t xml:space="preserve"> </w:t>
      </w:r>
      <w:r w:rsidR="00803FC4" w:rsidRPr="00803FC4">
        <w:rPr>
          <w:rFonts w:ascii="Calibri" w:eastAsia="Times New Roman" w:hAnsi="Calibri" w:cs="Times New Roman"/>
          <w:i/>
        </w:rPr>
        <w:br/>
      </w:r>
    </w:p>
    <w:p w:rsidR="00C01CD4" w:rsidRPr="004919D0" w:rsidRDefault="00803FC4" w:rsidP="004919D0">
      <w:pPr>
        <w:spacing w:after="200" w:line="276" w:lineRule="auto"/>
        <w:rPr>
          <w:rFonts w:ascii="Calibri" w:eastAsia="Calibri" w:hAnsi="Calibri" w:cs="Times New Roman"/>
          <w:sz w:val="24"/>
        </w:rPr>
      </w:pPr>
      <w:r w:rsidRPr="00803FC4">
        <w:rPr>
          <w:rFonts w:ascii="Calibri" w:eastAsia="Calibri" w:hAnsi="Calibri" w:cs="Times New Roman"/>
          <w:sz w:val="24"/>
        </w:rPr>
        <w:lastRenderedPageBreak/>
        <w:t xml:space="preserve">The percent of students receiving special education throughout the state of Minnesota and the Horizon Community Health </w:t>
      </w:r>
      <w:r w:rsidR="0054493E">
        <w:rPr>
          <w:rFonts w:ascii="Calibri" w:eastAsia="Calibri" w:hAnsi="Calibri" w:cs="Times New Roman"/>
          <w:sz w:val="24"/>
        </w:rPr>
        <w:t>Board area</w:t>
      </w:r>
      <w:r w:rsidRPr="00803FC4">
        <w:rPr>
          <w:rFonts w:ascii="Calibri" w:eastAsia="Calibri" w:hAnsi="Calibri" w:cs="Times New Roman"/>
          <w:sz w:val="24"/>
        </w:rPr>
        <w:t xml:space="preserve"> has remained fairly</w:t>
      </w:r>
      <w:r w:rsidR="003502A4">
        <w:rPr>
          <w:rFonts w:ascii="Calibri" w:eastAsia="Calibri" w:hAnsi="Calibri" w:cs="Times New Roman"/>
          <w:sz w:val="24"/>
        </w:rPr>
        <w:t xml:space="preserve"> constant throughout the years. </w:t>
      </w:r>
      <w:r w:rsidRPr="00803FC4">
        <w:rPr>
          <w:rFonts w:ascii="Calibri" w:eastAsia="Calibri" w:hAnsi="Calibri" w:cs="Times New Roman"/>
          <w:sz w:val="24"/>
        </w:rPr>
        <w:t>Pope County has the highest percentage of students receiving special education</w:t>
      </w:r>
      <w:r w:rsidR="0054493E">
        <w:rPr>
          <w:rFonts w:ascii="Calibri" w:eastAsia="Calibri" w:hAnsi="Calibri" w:cs="Times New Roman"/>
          <w:sz w:val="24"/>
        </w:rPr>
        <w:t xml:space="preserve"> with 22.7 percent receiving special education during the </w:t>
      </w:r>
      <w:r w:rsidR="003502A4">
        <w:rPr>
          <w:rFonts w:ascii="Calibri" w:eastAsia="Calibri" w:hAnsi="Calibri" w:cs="Times New Roman"/>
          <w:sz w:val="24"/>
        </w:rPr>
        <w:t>2013-2014 school year</w:t>
      </w:r>
      <w:r w:rsidR="0054493E">
        <w:rPr>
          <w:rFonts w:ascii="Calibri" w:eastAsia="Calibri" w:hAnsi="Calibri" w:cs="Times New Roman"/>
          <w:sz w:val="24"/>
        </w:rPr>
        <w:t>.</w:t>
      </w:r>
      <w:r w:rsidR="003502A4">
        <w:rPr>
          <w:rFonts w:ascii="Calibri" w:eastAsia="Calibri" w:hAnsi="Calibri" w:cs="Times New Roman"/>
          <w:sz w:val="24"/>
        </w:rPr>
        <w:t xml:space="preserve"> Grant and Douglas</w:t>
      </w:r>
      <w:r w:rsidRPr="00803FC4">
        <w:rPr>
          <w:rFonts w:ascii="Calibri" w:eastAsia="Calibri" w:hAnsi="Calibri" w:cs="Times New Roman"/>
          <w:sz w:val="24"/>
        </w:rPr>
        <w:t xml:space="preserve"> Counties have the lowest percentage of students receiving special e</w:t>
      </w:r>
      <w:r w:rsidR="003502A4">
        <w:rPr>
          <w:rFonts w:ascii="Calibri" w:eastAsia="Calibri" w:hAnsi="Calibri" w:cs="Times New Roman"/>
          <w:sz w:val="24"/>
        </w:rPr>
        <w:t>ducation – 12.5% and 17.1</w:t>
      </w:r>
      <w:r w:rsidR="004919D0">
        <w:rPr>
          <w:rFonts w:ascii="Calibri" w:eastAsia="Calibri" w:hAnsi="Calibri" w:cs="Times New Roman"/>
          <w:sz w:val="24"/>
        </w:rPr>
        <w:t>% respectively.</w:t>
      </w:r>
    </w:p>
    <w:p w:rsidR="00803FC4" w:rsidRPr="0014506A" w:rsidRDefault="00803FC4" w:rsidP="00803FC4">
      <w:pPr>
        <w:spacing w:after="0" w:line="240" w:lineRule="auto"/>
        <w:rPr>
          <w:rFonts w:ascii="Calibri" w:eastAsia="Times New Roman" w:hAnsi="Calibri" w:cs="Times New Roman"/>
          <w:b/>
          <w:i/>
          <w:sz w:val="24"/>
        </w:rPr>
      </w:pPr>
      <w:r w:rsidRPr="0014506A">
        <w:rPr>
          <w:rFonts w:ascii="Calibri" w:eastAsia="Times New Roman" w:hAnsi="Calibri" w:cs="Times New Roman"/>
          <w:b/>
          <w:i/>
          <w:sz w:val="24"/>
        </w:rPr>
        <w:t>Students receiv</w:t>
      </w:r>
      <w:r w:rsidR="005B6FFE" w:rsidRPr="0014506A">
        <w:rPr>
          <w:rFonts w:ascii="Calibri" w:eastAsia="Times New Roman" w:hAnsi="Calibri" w:cs="Times New Roman"/>
          <w:b/>
          <w:i/>
          <w:sz w:val="24"/>
        </w:rPr>
        <w:t>ing special education: 2010-2014</w:t>
      </w:r>
    </w:p>
    <w:p w:rsidR="00803FC4" w:rsidRDefault="00803FC4" w:rsidP="00803FC4">
      <w:pPr>
        <w:spacing w:after="0" w:line="240" w:lineRule="auto"/>
        <w:rPr>
          <w:rFonts w:ascii="Calibri" w:eastAsia="Times New Roman" w:hAnsi="Calibri" w:cs="Times New Roman"/>
          <w:noProof/>
        </w:rPr>
      </w:pPr>
    </w:p>
    <w:p w:rsidR="005B6FFE" w:rsidRPr="00803FC4" w:rsidRDefault="005B6FFE" w:rsidP="00803FC4">
      <w:pPr>
        <w:spacing w:after="0" w:line="240" w:lineRule="auto"/>
        <w:rPr>
          <w:rFonts w:ascii="Calibri" w:eastAsia="Times New Roman" w:hAnsi="Calibri" w:cs="Times New Roman"/>
          <w:sz w:val="24"/>
        </w:rPr>
      </w:pPr>
      <w:r>
        <w:rPr>
          <w:rFonts w:ascii="Calibri" w:eastAsia="Times New Roman" w:hAnsi="Calibri" w:cs="Times New Roman"/>
          <w:noProof/>
          <w:sz w:val="24"/>
        </w:rPr>
        <w:drawing>
          <wp:inline distT="0" distB="0" distL="0" distR="0" wp14:anchorId="6A643F2C" wp14:editId="22D85C3E">
            <wp:extent cx="5981700" cy="23241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41FF" w:rsidRPr="004919D0" w:rsidRDefault="00803FC4" w:rsidP="0014506A">
      <w:pPr>
        <w:spacing w:after="200" w:line="276" w:lineRule="auto"/>
        <w:rPr>
          <w:rFonts w:ascii="Calibri" w:eastAsia="Calibri" w:hAnsi="Calibri" w:cs="Times New Roman"/>
          <w:i/>
        </w:rPr>
      </w:pPr>
      <w:r w:rsidRPr="00803FC4">
        <w:rPr>
          <w:rFonts w:ascii="Calibri" w:eastAsia="Calibri" w:hAnsi="Calibri" w:cs="Times New Roman"/>
          <w:i/>
        </w:rPr>
        <w:t>Source: Minnesota Department of Healt</w:t>
      </w:r>
      <w:r w:rsidR="004919D0">
        <w:rPr>
          <w:rFonts w:ascii="Calibri" w:eastAsia="Calibri" w:hAnsi="Calibri" w:cs="Times New Roman"/>
          <w:i/>
        </w:rPr>
        <w:t>h, Center for Health Statistics</w:t>
      </w:r>
    </w:p>
    <w:p w:rsidR="00385136" w:rsidRDefault="00301611" w:rsidP="004919D0">
      <w:pPr>
        <w:spacing w:after="200" w:line="276" w:lineRule="auto"/>
        <w:rPr>
          <w:rFonts w:ascii="Calibri" w:eastAsia="Calibri" w:hAnsi="Calibri" w:cs="Times New Roman"/>
          <w:sz w:val="24"/>
        </w:rPr>
      </w:pPr>
      <w:r>
        <w:rPr>
          <w:rFonts w:ascii="Calibri" w:eastAsia="Calibri" w:hAnsi="Calibri" w:cs="Times New Roman"/>
          <w:sz w:val="24"/>
        </w:rPr>
        <w:t>T</w:t>
      </w:r>
      <w:r w:rsidR="00803FC4" w:rsidRPr="00803FC4">
        <w:rPr>
          <w:rFonts w:ascii="Calibri" w:eastAsia="Calibri" w:hAnsi="Calibri" w:cs="Times New Roman"/>
          <w:sz w:val="24"/>
        </w:rPr>
        <w:t>he average annual unemployment percentage</w:t>
      </w:r>
      <w:r>
        <w:rPr>
          <w:rFonts w:ascii="Calibri" w:eastAsia="Calibri" w:hAnsi="Calibri" w:cs="Times New Roman"/>
          <w:sz w:val="24"/>
        </w:rPr>
        <w:t>s</w:t>
      </w:r>
      <w:r w:rsidR="00803FC4" w:rsidRPr="00803FC4">
        <w:rPr>
          <w:rFonts w:ascii="Calibri" w:eastAsia="Calibri" w:hAnsi="Calibri" w:cs="Times New Roman"/>
          <w:sz w:val="24"/>
        </w:rPr>
        <w:t xml:space="preserve"> in </w:t>
      </w:r>
      <w:r>
        <w:rPr>
          <w:rFonts w:ascii="Calibri" w:eastAsia="Calibri" w:hAnsi="Calibri" w:cs="Times New Roman"/>
          <w:sz w:val="24"/>
        </w:rPr>
        <w:t xml:space="preserve">the </w:t>
      </w:r>
      <w:r w:rsidR="00803FC4" w:rsidRPr="00803FC4">
        <w:rPr>
          <w:rFonts w:ascii="Calibri" w:eastAsia="Calibri" w:hAnsi="Calibri" w:cs="Times New Roman"/>
          <w:sz w:val="24"/>
        </w:rPr>
        <w:t xml:space="preserve">Horizon Community Health </w:t>
      </w:r>
      <w:r w:rsidR="00530F7A">
        <w:rPr>
          <w:rFonts w:ascii="Calibri" w:eastAsia="Calibri" w:hAnsi="Calibri" w:cs="Times New Roman"/>
          <w:sz w:val="24"/>
        </w:rPr>
        <w:t>Board area</w:t>
      </w:r>
      <w:r w:rsidR="00803FC4" w:rsidRPr="00803FC4">
        <w:rPr>
          <w:rFonts w:ascii="Calibri" w:eastAsia="Calibri" w:hAnsi="Calibri" w:cs="Times New Roman"/>
          <w:sz w:val="24"/>
        </w:rPr>
        <w:t xml:space="preserve"> </w:t>
      </w:r>
      <w:r>
        <w:rPr>
          <w:rFonts w:ascii="Calibri" w:eastAsia="Calibri" w:hAnsi="Calibri" w:cs="Times New Roman"/>
          <w:sz w:val="24"/>
        </w:rPr>
        <w:t xml:space="preserve">do vary. </w:t>
      </w:r>
      <w:r w:rsidR="00803FC4" w:rsidRPr="00803FC4">
        <w:rPr>
          <w:rFonts w:ascii="Calibri" w:eastAsia="Calibri" w:hAnsi="Calibri" w:cs="Times New Roman"/>
          <w:sz w:val="24"/>
        </w:rPr>
        <w:t xml:space="preserve">Grant County has the highest annual unemployment rate </w:t>
      </w:r>
      <w:r w:rsidR="00530F7A">
        <w:rPr>
          <w:rFonts w:ascii="Calibri" w:eastAsia="Calibri" w:hAnsi="Calibri" w:cs="Times New Roman"/>
          <w:sz w:val="24"/>
        </w:rPr>
        <w:t>of the 5 counties</w:t>
      </w:r>
      <w:r w:rsidR="00803FC4" w:rsidRPr="00803FC4">
        <w:rPr>
          <w:rFonts w:ascii="Calibri" w:eastAsia="Calibri" w:hAnsi="Calibri" w:cs="Times New Roman"/>
          <w:sz w:val="24"/>
        </w:rPr>
        <w:t xml:space="preserve"> </w:t>
      </w:r>
      <w:r w:rsidR="00530F7A">
        <w:rPr>
          <w:rFonts w:ascii="Calibri" w:eastAsia="Calibri" w:hAnsi="Calibri" w:cs="Times New Roman"/>
          <w:sz w:val="24"/>
        </w:rPr>
        <w:t xml:space="preserve">at 4.9% in 2015, which was down from 8.8% in 2008.  </w:t>
      </w:r>
      <w:r w:rsidR="00803FC4" w:rsidRPr="00803FC4">
        <w:rPr>
          <w:rFonts w:ascii="Calibri" w:eastAsia="Calibri" w:hAnsi="Calibri" w:cs="Times New Roman"/>
          <w:sz w:val="24"/>
        </w:rPr>
        <w:t>Stevens has the lowest annual unemployment rate</w:t>
      </w:r>
      <w:r w:rsidR="00530F7A">
        <w:rPr>
          <w:rFonts w:ascii="Calibri" w:eastAsia="Calibri" w:hAnsi="Calibri" w:cs="Times New Roman"/>
          <w:sz w:val="24"/>
        </w:rPr>
        <w:t xml:space="preserve"> with just a 3.2% annual unemployment rate in 2015, down from 5.6% in 2008</w:t>
      </w:r>
      <w:r w:rsidR="00803FC4" w:rsidRPr="00803FC4">
        <w:rPr>
          <w:rFonts w:ascii="Calibri" w:eastAsia="Calibri" w:hAnsi="Calibri" w:cs="Times New Roman"/>
          <w:sz w:val="24"/>
        </w:rPr>
        <w:t xml:space="preserve">.  </w:t>
      </w:r>
      <w:r>
        <w:rPr>
          <w:rFonts w:ascii="Calibri" w:eastAsia="Calibri" w:hAnsi="Calibri" w:cs="Times New Roman"/>
          <w:sz w:val="24"/>
        </w:rPr>
        <w:t xml:space="preserve">Overall, unemployment rates have gone down in all five counties </w:t>
      </w:r>
      <w:r w:rsidR="00385136">
        <w:rPr>
          <w:rFonts w:ascii="Calibri" w:eastAsia="Calibri" w:hAnsi="Calibri" w:cs="Times New Roman"/>
          <w:sz w:val="24"/>
        </w:rPr>
        <w:t>when compared</w:t>
      </w:r>
      <w:r>
        <w:rPr>
          <w:rFonts w:ascii="Calibri" w:eastAsia="Calibri" w:hAnsi="Calibri" w:cs="Times New Roman"/>
          <w:sz w:val="24"/>
        </w:rPr>
        <w:t xml:space="preserve"> to 200</w:t>
      </w:r>
      <w:r w:rsidR="00B70CAC">
        <w:rPr>
          <w:rFonts w:ascii="Calibri" w:eastAsia="Calibri" w:hAnsi="Calibri" w:cs="Times New Roman"/>
          <w:sz w:val="24"/>
        </w:rPr>
        <w:t>8</w:t>
      </w:r>
      <w:r w:rsidR="004919D0">
        <w:rPr>
          <w:rFonts w:ascii="Calibri" w:eastAsia="Calibri" w:hAnsi="Calibri" w:cs="Times New Roman"/>
          <w:sz w:val="24"/>
        </w:rPr>
        <w:t xml:space="preserve"> rates.</w:t>
      </w:r>
    </w:p>
    <w:p w:rsidR="004919D0" w:rsidRPr="004919D0" w:rsidRDefault="004919D0" w:rsidP="004919D0">
      <w:pPr>
        <w:rPr>
          <w:b/>
          <w:i/>
          <w:sz w:val="24"/>
          <w:szCs w:val="24"/>
        </w:rPr>
      </w:pPr>
      <w:r w:rsidRPr="004919D0">
        <w:rPr>
          <w:b/>
          <w:i/>
          <w:sz w:val="24"/>
          <w:szCs w:val="24"/>
        </w:rPr>
        <w:t>Percent of Individuals Unemployed in CHB Region and Minnesota</w:t>
      </w:r>
    </w:p>
    <w:p w:rsidR="006708F9" w:rsidRDefault="003E2DCD" w:rsidP="00803FC4">
      <w:pPr>
        <w:spacing w:after="0" w:line="240" w:lineRule="auto"/>
        <w:rPr>
          <w:rFonts w:ascii="Calibri" w:eastAsia="Times New Roman" w:hAnsi="Calibri" w:cs="Times New Roman"/>
          <w:b/>
          <w:sz w:val="24"/>
        </w:rPr>
      </w:pPr>
      <w:r>
        <w:rPr>
          <w:rFonts w:ascii="Calibri" w:eastAsia="Times New Roman" w:hAnsi="Calibri" w:cs="Times New Roman"/>
          <w:b/>
          <w:noProof/>
          <w:sz w:val="24"/>
        </w:rPr>
        <w:drawing>
          <wp:inline distT="0" distB="0" distL="0" distR="0" wp14:anchorId="1B17BFCC" wp14:editId="7925BD90">
            <wp:extent cx="6257925" cy="2076450"/>
            <wp:effectExtent l="0" t="0" r="952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1611" w:rsidRPr="00803FC4" w:rsidRDefault="00301611" w:rsidP="00803FC4">
      <w:pPr>
        <w:spacing w:after="0" w:line="240" w:lineRule="auto"/>
        <w:rPr>
          <w:rFonts w:ascii="Calibri" w:eastAsia="Times New Roman" w:hAnsi="Calibri" w:cs="Times New Roman"/>
          <w:b/>
          <w:sz w:val="24"/>
        </w:rPr>
      </w:pPr>
    </w:p>
    <w:p w:rsidR="00803FC4" w:rsidRPr="00803FC4" w:rsidRDefault="00803FC4" w:rsidP="00803FC4">
      <w:pPr>
        <w:spacing w:after="200" w:line="276" w:lineRule="auto"/>
        <w:rPr>
          <w:rFonts w:ascii="Calibri" w:eastAsia="Calibri" w:hAnsi="Calibri" w:cs="Times New Roman"/>
          <w:i/>
        </w:rPr>
      </w:pPr>
      <w:r w:rsidRPr="00803FC4">
        <w:rPr>
          <w:rFonts w:ascii="Calibri" w:eastAsia="Calibri" w:hAnsi="Calibri" w:cs="Times New Roman"/>
          <w:i/>
        </w:rPr>
        <w:t>Source: Minnesota Department of Employment and Economic Development</w:t>
      </w: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lastRenderedPageBreak/>
        <w:t>Income and Poverty</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Income involves more than just money earned from a job.  Income includes assets, like a bank account or equity i</w:t>
      </w:r>
      <w:r w:rsidR="00F31FEA">
        <w:rPr>
          <w:rFonts w:ascii="Calibri" w:eastAsia="Calibri" w:hAnsi="Calibri" w:cs="Times New Roman"/>
          <w:sz w:val="24"/>
        </w:rPr>
        <w:t>n an own</w:t>
      </w:r>
      <w:r w:rsidR="00E96147">
        <w:rPr>
          <w:rFonts w:ascii="Calibri" w:eastAsia="Calibri" w:hAnsi="Calibri" w:cs="Times New Roman"/>
          <w:sz w:val="24"/>
        </w:rPr>
        <w:t>ed home or property, as well as</w:t>
      </w:r>
      <w:r w:rsidRPr="00803FC4">
        <w:rPr>
          <w:rFonts w:ascii="Calibri" w:eastAsia="Calibri" w:hAnsi="Calibri" w:cs="Times New Roman"/>
          <w:sz w:val="24"/>
        </w:rPr>
        <w:t xml:space="preserve"> access to a variety of economic resources.  Income influences the choices people make on where to live, what to purchase for food, what to participate in, such as physical activities, especially those that require fees or special equipment, and what to do in leisure time.</w:t>
      </w:r>
    </w:p>
    <w:p w:rsidR="0014506A" w:rsidRPr="004919D0" w:rsidRDefault="00803FC4" w:rsidP="004919D0">
      <w:pPr>
        <w:spacing w:after="200" w:line="276" w:lineRule="auto"/>
        <w:rPr>
          <w:rFonts w:ascii="Calibri" w:eastAsia="Calibri" w:hAnsi="Calibri" w:cs="Times New Roman"/>
          <w:sz w:val="24"/>
        </w:rPr>
      </w:pPr>
      <w:r w:rsidRPr="00803FC4">
        <w:rPr>
          <w:rFonts w:ascii="Calibri" w:eastAsia="Calibri" w:hAnsi="Calibri" w:cs="Times New Roman"/>
          <w:sz w:val="24"/>
        </w:rPr>
        <w:t xml:space="preserve">Minnesota has a much higher </w:t>
      </w:r>
      <w:r w:rsidR="00F31FEA">
        <w:rPr>
          <w:rFonts w:ascii="Calibri" w:eastAsia="Calibri" w:hAnsi="Calibri" w:cs="Times New Roman"/>
          <w:sz w:val="24"/>
        </w:rPr>
        <w:t xml:space="preserve">median </w:t>
      </w:r>
      <w:r w:rsidRPr="00803FC4">
        <w:rPr>
          <w:rFonts w:ascii="Calibri" w:eastAsia="Calibri" w:hAnsi="Calibri" w:cs="Times New Roman"/>
          <w:sz w:val="24"/>
        </w:rPr>
        <w:t xml:space="preserve">income when compared to the Horizon Community Health </w:t>
      </w:r>
      <w:r w:rsidR="00B70CAC">
        <w:rPr>
          <w:rFonts w:ascii="Calibri" w:eastAsia="Calibri" w:hAnsi="Calibri" w:cs="Times New Roman"/>
          <w:sz w:val="24"/>
        </w:rPr>
        <w:t>Board area</w:t>
      </w:r>
      <w:r w:rsidRPr="00803FC4">
        <w:rPr>
          <w:rFonts w:ascii="Calibri" w:eastAsia="Calibri" w:hAnsi="Calibri" w:cs="Times New Roman"/>
          <w:sz w:val="24"/>
        </w:rPr>
        <w:t xml:space="preserve">; however, this is attributed to metro area counties which have significantly higher per capita incomes. It is also important to keep in mind that the cost of living in these </w:t>
      </w:r>
      <w:r w:rsidR="00B70CAC">
        <w:rPr>
          <w:rFonts w:ascii="Calibri" w:eastAsia="Calibri" w:hAnsi="Calibri" w:cs="Times New Roman"/>
          <w:sz w:val="24"/>
        </w:rPr>
        <w:t xml:space="preserve">metropolitan </w:t>
      </w:r>
      <w:r w:rsidRPr="00803FC4">
        <w:rPr>
          <w:rFonts w:ascii="Calibri" w:eastAsia="Calibri" w:hAnsi="Calibri" w:cs="Times New Roman"/>
          <w:sz w:val="24"/>
        </w:rPr>
        <w:t xml:space="preserve">areas is significantly higher than rural counties.  When comparing the five individual counties </w:t>
      </w:r>
      <w:r w:rsidR="00B70CAC">
        <w:rPr>
          <w:rFonts w:ascii="Calibri" w:eastAsia="Calibri" w:hAnsi="Calibri" w:cs="Times New Roman"/>
          <w:sz w:val="24"/>
        </w:rPr>
        <w:t>to the combined Horizon Community Health Board combined a</w:t>
      </w:r>
      <w:r w:rsidRPr="00803FC4">
        <w:rPr>
          <w:rFonts w:ascii="Calibri" w:eastAsia="Calibri" w:hAnsi="Calibri" w:cs="Times New Roman"/>
          <w:sz w:val="24"/>
        </w:rPr>
        <w:t>verage</w:t>
      </w:r>
      <w:r w:rsidR="00B70CAC">
        <w:rPr>
          <w:rFonts w:ascii="Calibri" w:eastAsia="Calibri" w:hAnsi="Calibri" w:cs="Times New Roman"/>
          <w:sz w:val="24"/>
        </w:rPr>
        <w:t xml:space="preserve">, </w:t>
      </w:r>
      <w:r w:rsidRPr="00803FC4">
        <w:rPr>
          <w:rFonts w:ascii="Calibri" w:eastAsia="Calibri" w:hAnsi="Calibri" w:cs="Times New Roman"/>
          <w:sz w:val="24"/>
        </w:rPr>
        <w:t xml:space="preserve">they seem fairly consistent.  Over the years, the </w:t>
      </w:r>
      <w:r w:rsidR="006825CE">
        <w:rPr>
          <w:rFonts w:ascii="Calibri" w:eastAsia="Calibri" w:hAnsi="Calibri" w:cs="Times New Roman"/>
          <w:sz w:val="24"/>
        </w:rPr>
        <w:t>median</w:t>
      </w:r>
      <w:r w:rsidRPr="00803FC4">
        <w:rPr>
          <w:rFonts w:ascii="Calibri" w:eastAsia="Calibri" w:hAnsi="Calibri" w:cs="Times New Roman"/>
          <w:sz w:val="24"/>
        </w:rPr>
        <w:t xml:space="preserve"> income has increased due</w:t>
      </w:r>
      <w:r w:rsidR="004919D0">
        <w:rPr>
          <w:rFonts w:ascii="Calibri" w:eastAsia="Calibri" w:hAnsi="Calibri" w:cs="Times New Roman"/>
          <w:sz w:val="24"/>
        </w:rPr>
        <w:t xml:space="preserve"> to inflation of the economy.  </w:t>
      </w:r>
    </w:p>
    <w:p w:rsidR="00E33B1E" w:rsidRDefault="00E33B1E" w:rsidP="00803FC4">
      <w:pPr>
        <w:spacing w:after="0" w:line="240" w:lineRule="auto"/>
        <w:rPr>
          <w:rFonts w:ascii="Calibri" w:eastAsia="Times New Roman" w:hAnsi="Calibri" w:cs="Times New Roman"/>
          <w:b/>
          <w:sz w:val="24"/>
        </w:rPr>
      </w:pPr>
    </w:p>
    <w:p w:rsidR="00F31FEA" w:rsidRPr="0014506A" w:rsidRDefault="00F21150" w:rsidP="00803FC4">
      <w:pPr>
        <w:spacing w:after="0" w:line="240" w:lineRule="auto"/>
        <w:rPr>
          <w:rFonts w:ascii="Calibri" w:eastAsia="Times New Roman" w:hAnsi="Calibri" w:cs="Times New Roman"/>
          <w:b/>
          <w:i/>
          <w:sz w:val="24"/>
        </w:rPr>
      </w:pPr>
      <w:r w:rsidRPr="0014506A">
        <w:rPr>
          <w:rFonts w:ascii="Calibri" w:eastAsia="Times New Roman" w:hAnsi="Calibri" w:cs="Times New Roman"/>
          <w:b/>
          <w:i/>
          <w:sz w:val="24"/>
        </w:rPr>
        <w:t xml:space="preserve"> </w:t>
      </w:r>
      <w:r w:rsidR="00F31FEA" w:rsidRPr="0014506A">
        <w:rPr>
          <w:rFonts w:ascii="Calibri" w:eastAsia="Times New Roman" w:hAnsi="Calibri" w:cs="Times New Roman"/>
          <w:b/>
          <w:i/>
          <w:sz w:val="24"/>
        </w:rPr>
        <w:t>Median</w:t>
      </w:r>
      <w:r w:rsidR="00803FC4" w:rsidRPr="0014506A">
        <w:rPr>
          <w:rFonts w:ascii="Calibri" w:eastAsia="Times New Roman" w:hAnsi="Calibri" w:cs="Times New Roman"/>
          <w:b/>
          <w:i/>
          <w:sz w:val="24"/>
        </w:rPr>
        <w:t xml:space="preserve"> income in Minnesota and the Horizon Community Health </w:t>
      </w:r>
      <w:r w:rsidR="00B70CAC" w:rsidRPr="0014506A">
        <w:rPr>
          <w:rFonts w:ascii="Calibri" w:eastAsia="Times New Roman" w:hAnsi="Calibri" w:cs="Times New Roman"/>
          <w:b/>
          <w:i/>
          <w:sz w:val="24"/>
        </w:rPr>
        <w:t>Board area</w:t>
      </w:r>
    </w:p>
    <w:p w:rsidR="00803FC4" w:rsidRPr="00803FC4" w:rsidRDefault="00F31FEA" w:rsidP="00803FC4">
      <w:pPr>
        <w:spacing w:after="0" w:line="240" w:lineRule="auto"/>
        <w:rPr>
          <w:rFonts w:ascii="Calibri" w:eastAsia="Times New Roman" w:hAnsi="Calibri" w:cs="Times New Roman"/>
          <w:b/>
          <w:sz w:val="24"/>
        </w:rPr>
      </w:pPr>
      <w:r>
        <w:rPr>
          <w:rFonts w:ascii="Calibri" w:eastAsia="Times New Roman" w:hAnsi="Calibri" w:cs="Times New Roman"/>
          <w:b/>
          <w:noProof/>
          <w:sz w:val="24"/>
        </w:rPr>
        <w:drawing>
          <wp:inline distT="0" distB="0" distL="0" distR="0" wp14:anchorId="37E62FF4" wp14:editId="14CA7A09">
            <wp:extent cx="5486400" cy="32004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3FC4" w:rsidRPr="00803FC4" w:rsidRDefault="00803FC4" w:rsidP="00803FC4">
      <w:pPr>
        <w:spacing w:after="200" w:line="276" w:lineRule="auto"/>
        <w:rPr>
          <w:rFonts w:ascii="Calibri" w:eastAsia="Calibri" w:hAnsi="Calibri" w:cs="Times New Roman"/>
          <w:i/>
        </w:rPr>
      </w:pPr>
      <w:r w:rsidRPr="00803FC4">
        <w:rPr>
          <w:rFonts w:ascii="Calibri" w:eastAsia="Calibri" w:hAnsi="Calibri" w:cs="Times New Roman"/>
          <w:i/>
        </w:rPr>
        <w:t>Source: US Department of Commerce, Bureau of Economic Analysis</w:t>
      </w:r>
    </w:p>
    <w:p w:rsidR="00285564" w:rsidRDefault="00285564" w:rsidP="00803FC4">
      <w:pPr>
        <w:spacing w:after="200" w:line="276" w:lineRule="auto"/>
        <w:rPr>
          <w:rFonts w:ascii="Cambria" w:eastAsia="Calibri" w:hAnsi="Cambria" w:cs="Times New Roman"/>
          <w:b/>
          <w:sz w:val="32"/>
          <w:szCs w:val="32"/>
        </w:rPr>
      </w:pPr>
    </w:p>
    <w:p w:rsidR="004919D0" w:rsidRDefault="004919D0" w:rsidP="00803FC4">
      <w:pPr>
        <w:spacing w:after="200" w:line="276" w:lineRule="auto"/>
        <w:rPr>
          <w:rFonts w:ascii="Cambria" w:eastAsia="Calibri" w:hAnsi="Cambria" w:cs="Times New Roman"/>
          <w:b/>
          <w:sz w:val="32"/>
          <w:szCs w:val="32"/>
        </w:rPr>
      </w:pPr>
    </w:p>
    <w:p w:rsidR="004919D0" w:rsidRDefault="004919D0" w:rsidP="00803FC4">
      <w:pPr>
        <w:spacing w:after="200" w:line="276" w:lineRule="auto"/>
        <w:rPr>
          <w:rFonts w:ascii="Cambria" w:eastAsia="Calibri" w:hAnsi="Cambria" w:cs="Times New Roman"/>
          <w:b/>
          <w:sz w:val="32"/>
          <w:szCs w:val="32"/>
        </w:rPr>
      </w:pPr>
    </w:p>
    <w:p w:rsidR="000941FF"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lastRenderedPageBreak/>
        <w:t xml:space="preserve">Poverty decreases opportunities in education, employment and living conditions. It can be a reason behind obesity by forcing individuals and families to rely on cheap sources of food, which tend to be high in calories </w:t>
      </w:r>
      <w:r w:rsidR="004919D0">
        <w:rPr>
          <w:rFonts w:ascii="Calibri" w:eastAsia="Calibri" w:hAnsi="Calibri" w:cs="Times New Roman"/>
          <w:sz w:val="24"/>
        </w:rPr>
        <w:t xml:space="preserve">and low in nutritional value.  </w:t>
      </w:r>
    </w:p>
    <w:p w:rsidR="007A1DE1" w:rsidRPr="000941FF"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The chart shown below identifies the percentage of people less than 18 years of age living in poverty.  Traverse County has the highest percentage of people under the age of 18</w:t>
      </w:r>
      <w:r w:rsidR="00B70CAC">
        <w:rPr>
          <w:rFonts w:ascii="Calibri" w:eastAsia="Calibri" w:hAnsi="Calibri" w:cs="Times New Roman"/>
          <w:sz w:val="24"/>
        </w:rPr>
        <w:t xml:space="preserve"> living in poverty, while</w:t>
      </w:r>
      <w:r w:rsidRPr="00803FC4">
        <w:rPr>
          <w:rFonts w:ascii="Calibri" w:eastAsia="Calibri" w:hAnsi="Calibri" w:cs="Times New Roman"/>
          <w:sz w:val="24"/>
        </w:rPr>
        <w:t xml:space="preserve"> Stevens County has the lowest percentage</w:t>
      </w:r>
      <w:r w:rsidR="00B70CAC">
        <w:rPr>
          <w:rFonts w:ascii="Calibri" w:eastAsia="Calibri" w:hAnsi="Calibri" w:cs="Times New Roman"/>
          <w:sz w:val="24"/>
        </w:rPr>
        <w:t>. Th</w:t>
      </w:r>
      <w:r w:rsidRPr="00803FC4">
        <w:rPr>
          <w:rFonts w:ascii="Calibri" w:eastAsia="Calibri" w:hAnsi="Calibri" w:cs="Times New Roman"/>
          <w:sz w:val="24"/>
        </w:rPr>
        <w:t xml:space="preserve">roughout the years, Minnesota and the Horizon Community Health </w:t>
      </w:r>
      <w:r w:rsidR="00B70CAC">
        <w:rPr>
          <w:rFonts w:ascii="Calibri" w:eastAsia="Calibri" w:hAnsi="Calibri" w:cs="Times New Roman"/>
          <w:sz w:val="24"/>
        </w:rPr>
        <w:t>Board area</w:t>
      </w:r>
      <w:r w:rsidRPr="00803FC4">
        <w:rPr>
          <w:rFonts w:ascii="Calibri" w:eastAsia="Calibri" w:hAnsi="Calibri" w:cs="Times New Roman"/>
          <w:sz w:val="24"/>
        </w:rPr>
        <w:t xml:space="preserve"> have remained similar in percentage with the number of individuals under the age of 18 years</w:t>
      </w:r>
      <w:r w:rsidR="00B70CAC">
        <w:rPr>
          <w:rFonts w:ascii="Calibri" w:eastAsia="Calibri" w:hAnsi="Calibri" w:cs="Times New Roman"/>
          <w:sz w:val="24"/>
        </w:rPr>
        <w:t xml:space="preserve"> living in poverty</w:t>
      </w:r>
      <w:r w:rsidRPr="00803FC4">
        <w:rPr>
          <w:rFonts w:ascii="Calibri" w:eastAsia="Calibri" w:hAnsi="Calibri" w:cs="Times New Roman"/>
          <w:sz w:val="24"/>
        </w:rPr>
        <w:t xml:space="preserve">.  </w:t>
      </w:r>
    </w:p>
    <w:p w:rsidR="00803FC4" w:rsidRPr="0014506A" w:rsidRDefault="00803FC4" w:rsidP="00803FC4">
      <w:pPr>
        <w:spacing w:after="0" w:line="240" w:lineRule="auto"/>
        <w:rPr>
          <w:rFonts w:ascii="Calibri" w:eastAsia="Times New Roman" w:hAnsi="Calibri" w:cs="Times New Roman"/>
          <w:b/>
          <w:i/>
          <w:sz w:val="24"/>
        </w:rPr>
      </w:pPr>
      <w:r w:rsidRPr="0014506A">
        <w:rPr>
          <w:rFonts w:ascii="Calibri" w:eastAsia="Times New Roman" w:hAnsi="Calibri" w:cs="Times New Roman"/>
          <w:b/>
          <w:i/>
          <w:sz w:val="24"/>
        </w:rPr>
        <w:t>Percent of people under 18 years living in poverty: 2006-2010</w:t>
      </w:r>
    </w:p>
    <w:p w:rsidR="00803FC4" w:rsidRPr="00803FC4" w:rsidRDefault="00803FC4" w:rsidP="00803FC4">
      <w:pPr>
        <w:spacing w:after="0" w:line="240" w:lineRule="auto"/>
        <w:rPr>
          <w:rFonts w:ascii="Calibri" w:eastAsia="Times New Roman" w:hAnsi="Calibri" w:cs="Times New Roman"/>
          <w:b/>
          <w:sz w:val="24"/>
        </w:rPr>
      </w:pPr>
      <w:r w:rsidRPr="00803FC4">
        <w:rPr>
          <w:rFonts w:ascii="Calibri" w:eastAsia="Times New Roman" w:hAnsi="Calibri" w:cs="Times New Roman"/>
          <w:b/>
          <w:noProof/>
          <w:sz w:val="24"/>
        </w:rPr>
        <w:drawing>
          <wp:inline distT="0" distB="0" distL="0" distR="0" wp14:anchorId="36B86F4E" wp14:editId="5C92DA7A">
            <wp:extent cx="4886325" cy="2562225"/>
            <wp:effectExtent l="0" t="0" r="9525" b="9525"/>
            <wp:docPr id="21" name="Pictur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3FC4" w:rsidRDefault="00803FC4" w:rsidP="007A1DE1">
      <w:pPr>
        <w:spacing w:after="200" w:line="276" w:lineRule="auto"/>
        <w:rPr>
          <w:rFonts w:ascii="Calibri" w:eastAsia="Calibri" w:hAnsi="Calibri" w:cs="Times New Roman"/>
          <w:i/>
        </w:rPr>
      </w:pPr>
      <w:r w:rsidRPr="00803FC4">
        <w:rPr>
          <w:rFonts w:ascii="Calibri" w:eastAsia="Calibri" w:hAnsi="Calibri" w:cs="Times New Roman"/>
          <w:i/>
        </w:rPr>
        <w:t>Source: US Census, Poverty estima</w:t>
      </w:r>
      <w:r w:rsidR="007A1DE1">
        <w:rPr>
          <w:rFonts w:ascii="Calibri" w:eastAsia="Calibri" w:hAnsi="Calibri" w:cs="Times New Roman"/>
          <w:i/>
        </w:rPr>
        <w:t>tes and median household income</w:t>
      </w:r>
    </w:p>
    <w:p w:rsidR="007A1DE1" w:rsidRPr="007A1DE1" w:rsidRDefault="007A1DE1" w:rsidP="007A1DE1">
      <w:pPr>
        <w:spacing w:after="200" w:line="276" w:lineRule="auto"/>
        <w:rPr>
          <w:rFonts w:ascii="Calibri" w:eastAsia="Calibri" w:hAnsi="Calibri" w:cs="Times New Roman"/>
          <w:i/>
        </w:rPr>
      </w:pP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Housing and Home Ownership</w:t>
      </w:r>
    </w:p>
    <w:p w:rsidR="00DB4110" w:rsidRPr="008F4B01" w:rsidRDefault="00DB4110" w:rsidP="00067187">
      <w:pPr>
        <w:spacing w:line="276" w:lineRule="auto"/>
        <w:rPr>
          <w:sz w:val="24"/>
          <w:szCs w:val="24"/>
        </w:rPr>
      </w:pPr>
      <w:r w:rsidRPr="008F4B01">
        <w:rPr>
          <w:sz w:val="24"/>
          <w:szCs w:val="24"/>
        </w:rPr>
        <w:t>A person’s built environment, including their housing, is a key component in health. Certain building components, which could include lead-based paint, lead solder in the plumbing, in addition to soil, mold, and asbestos, can threaten the health of individuals. Additionally, other building components or components in the home such as window sashes, doors, balusters, tin panels, lead crystal, hardware, jewelry, toys, and furniture could contain lead, from buildings that were constructed prior to 1978. If these are ingested or inhaled, high levels could cause lead poisoning. Some potential ramifications of high lead levels include delayed mental development, change in behavioral patterns, high blood pressure, kidney damage, digestive problems, and fertility problems, to name a few. It is important for individuals and families to have a conscientious awareness of how to maintain their home and mitigate or decrease health risks.</w:t>
      </w:r>
      <w:r w:rsidR="00303E10">
        <w:rPr>
          <w:rStyle w:val="EndnoteReference"/>
          <w:sz w:val="24"/>
          <w:szCs w:val="24"/>
        </w:rPr>
        <w:endnoteReference w:id="7"/>
      </w: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lastRenderedPageBreak/>
        <w:t>Social Connectedness</w:t>
      </w:r>
    </w:p>
    <w:p w:rsidR="00DB4110" w:rsidRDefault="00DB4110" w:rsidP="00DB4110">
      <w:pPr>
        <w:rPr>
          <w:sz w:val="24"/>
          <w:szCs w:val="24"/>
        </w:rPr>
      </w:pPr>
      <w:r>
        <w:rPr>
          <w:sz w:val="24"/>
          <w:szCs w:val="24"/>
        </w:rPr>
        <w:t>To promote optimum health, people at all stages of life need to have social connections. These social connections can come through healthy relationships with family, friends, or neighbors and can positively impact and improve their quality of life. In addition to social connections, the physical environment can also promote or mitigate social connectedness. When these physical environments are supportive and healthy, this can promote and strengthen the ability of individuals and communities to come together.</w:t>
      </w:r>
    </w:p>
    <w:p w:rsidR="003A4C58" w:rsidRPr="00A02519" w:rsidRDefault="00FB56C9" w:rsidP="00A02519">
      <w:pPr>
        <w:spacing w:after="200" w:line="276" w:lineRule="auto"/>
        <w:rPr>
          <w:rFonts w:ascii="Calibri" w:eastAsia="Calibri" w:hAnsi="Calibri" w:cs="Times New Roman"/>
          <w:sz w:val="24"/>
        </w:rPr>
      </w:pPr>
      <w:r>
        <w:rPr>
          <w:sz w:val="24"/>
          <w:szCs w:val="24"/>
        </w:rPr>
        <w:t xml:space="preserve">The trend in the Horizon CHB </w:t>
      </w:r>
      <w:r w:rsidR="002D3B2F">
        <w:rPr>
          <w:sz w:val="24"/>
          <w:szCs w:val="24"/>
        </w:rPr>
        <w:t>area</w:t>
      </w:r>
      <w:r>
        <w:rPr>
          <w:sz w:val="24"/>
          <w:szCs w:val="24"/>
        </w:rPr>
        <w:t xml:space="preserve"> for a child being raised in a single-parent family is graphed below. </w:t>
      </w:r>
      <w:r w:rsidR="002D3B2F">
        <w:rPr>
          <w:rFonts w:ascii="Calibri" w:eastAsia="Calibri" w:hAnsi="Calibri" w:cs="Times New Roman"/>
          <w:sz w:val="24"/>
        </w:rPr>
        <w:t>From 2</w:t>
      </w:r>
      <w:r w:rsidR="00A02519">
        <w:rPr>
          <w:rFonts w:ascii="Calibri" w:eastAsia="Calibri" w:hAnsi="Calibri" w:cs="Times New Roman"/>
          <w:sz w:val="24"/>
        </w:rPr>
        <w:t xml:space="preserve">015 to 2017, </w:t>
      </w:r>
      <w:r w:rsidR="003A4C58" w:rsidRPr="00803FC4">
        <w:rPr>
          <w:rFonts w:ascii="Calibri" w:eastAsia="Calibri" w:hAnsi="Calibri" w:cs="Times New Roman"/>
          <w:sz w:val="24"/>
        </w:rPr>
        <w:t xml:space="preserve">there has </w:t>
      </w:r>
      <w:r w:rsidR="00A02519">
        <w:rPr>
          <w:rFonts w:ascii="Calibri" w:eastAsia="Calibri" w:hAnsi="Calibri" w:cs="Times New Roman"/>
          <w:sz w:val="24"/>
        </w:rPr>
        <w:t>overall been a decrease</w:t>
      </w:r>
      <w:r w:rsidR="003A4C58" w:rsidRPr="00803FC4">
        <w:rPr>
          <w:rFonts w:ascii="Calibri" w:eastAsia="Calibri" w:hAnsi="Calibri" w:cs="Times New Roman"/>
          <w:sz w:val="24"/>
        </w:rPr>
        <w:t xml:space="preserve"> in the percentage of househol</w:t>
      </w:r>
      <w:r w:rsidR="00A02519">
        <w:rPr>
          <w:rFonts w:ascii="Calibri" w:eastAsia="Calibri" w:hAnsi="Calibri" w:cs="Times New Roman"/>
          <w:sz w:val="24"/>
        </w:rPr>
        <w:t>ds with single-parents.  Grant</w:t>
      </w:r>
      <w:r w:rsidR="003A4C58" w:rsidRPr="00803FC4">
        <w:rPr>
          <w:rFonts w:ascii="Calibri" w:eastAsia="Calibri" w:hAnsi="Calibri" w:cs="Times New Roman"/>
          <w:sz w:val="24"/>
        </w:rPr>
        <w:t xml:space="preserve"> County has the higher percentage of househ</w:t>
      </w:r>
      <w:r w:rsidR="00A02519">
        <w:rPr>
          <w:rFonts w:ascii="Calibri" w:eastAsia="Calibri" w:hAnsi="Calibri" w:cs="Times New Roman"/>
          <w:sz w:val="24"/>
        </w:rPr>
        <w:t>olds with single-parents in 2017.  Stevens</w:t>
      </w:r>
      <w:r w:rsidR="003A4C58" w:rsidRPr="00803FC4">
        <w:rPr>
          <w:rFonts w:ascii="Calibri" w:eastAsia="Calibri" w:hAnsi="Calibri" w:cs="Times New Roman"/>
          <w:sz w:val="24"/>
        </w:rPr>
        <w:t xml:space="preserve"> County has the lowest percentage of households with single parents.</w:t>
      </w:r>
    </w:p>
    <w:p w:rsidR="00DB4110" w:rsidRPr="003A4C58" w:rsidRDefault="00FB56C9" w:rsidP="003A4C58">
      <w:pPr>
        <w:rPr>
          <w:sz w:val="24"/>
          <w:szCs w:val="24"/>
        </w:rPr>
      </w:pPr>
      <w:r>
        <w:rPr>
          <w:sz w:val="24"/>
          <w:szCs w:val="24"/>
        </w:rPr>
        <w:t xml:space="preserve">With these statistics, it is important to realize the </w:t>
      </w:r>
      <w:r w:rsidR="004E3072">
        <w:rPr>
          <w:sz w:val="24"/>
          <w:szCs w:val="24"/>
        </w:rPr>
        <w:t>importance</w:t>
      </w:r>
      <w:r>
        <w:rPr>
          <w:sz w:val="24"/>
          <w:szCs w:val="24"/>
        </w:rPr>
        <w:t xml:space="preserve"> and potential ramification</w:t>
      </w:r>
      <w:r w:rsidR="003A4C58">
        <w:rPr>
          <w:sz w:val="24"/>
          <w:szCs w:val="24"/>
        </w:rPr>
        <w:t xml:space="preserve">s for the </w:t>
      </w:r>
      <w:r w:rsidR="004E3072">
        <w:rPr>
          <w:sz w:val="24"/>
          <w:szCs w:val="24"/>
        </w:rPr>
        <w:t>child (</w:t>
      </w:r>
      <w:r w:rsidR="003A4C58">
        <w:rPr>
          <w:sz w:val="24"/>
          <w:szCs w:val="24"/>
        </w:rPr>
        <w:t xml:space="preserve">ren) and parent who </w:t>
      </w:r>
      <w:r w:rsidR="004E3072">
        <w:rPr>
          <w:sz w:val="24"/>
          <w:szCs w:val="24"/>
        </w:rPr>
        <w:t>live</w:t>
      </w:r>
      <w:r w:rsidR="003A4C58">
        <w:rPr>
          <w:sz w:val="24"/>
          <w:szCs w:val="24"/>
        </w:rPr>
        <w:t xml:space="preserve"> in a single-parent family unit. </w:t>
      </w:r>
      <w:r>
        <w:rPr>
          <w:sz w:val="24"/>
          <w:szCs w:val="24"/>
        </w:rPr>
        <w:t xml:space="preserve"> </w:t>
      </w:r>
      <w:r w:rsidR="003A4C58">
        <w:rPr>
          <w:sz w:val="24"/>
          <w:szCs w:val="24"/>
        </w:rPr>
        <w:t xml:space="preserve">They are at increased risk for adverse health outcomes and unhealthy behaviors. </w:t>
      </w:r>
      <w:r>
        <w:rPr>
          <w:sz w:val="24"/>
          <w:szCs w:val="24"/>
        </w:rPr>
        <w:t>Some of the additional</w:t>
      </w:r>
      <w:r w:rsidR="003A4C58">
        <w:rPr>
          <w:sz w:val="24"/>
          <w:szCs w:val="24"/>
        </w:rPr>
        <w:t xml:space="preserve"> </w:t>
      </w:r>
      <w:r w:rsidR="002D3B2F">
        <w:rPr>
          <w:sz w:val="24"/>
          <w:szCs w:val="24"/>
        </w:rPr>
        <w:t>challenges</w:t>
      </w:r>
      <w:r>
        <w:rPr>
          <w:sz w:val="24"/>
          <w:szCs w:val="24"/>
        </w:rPr>
        <w:t xml:space="preserve"> that these parents</w:t>
      </w:r>
      <w:r w:rsidR="003A4C58">
        <w:rPr>
          <w:sz w:val="24"/>
          <w:szCs w:val="24"/>
        </w:rPr>
        <w:t xml:space="preserve"> and children</w:t>
      </w:r>
      <w:r>
        <w:rPr>
          <w:sz w:val="24"/>
          <w:szCs w:val="24"/>
        </w:rPr>
        <w:t xml:space="preserve"> may face include less access to resources, increased reliance on county assistance, as well as increased economic factors and stress.</w:t>
      </w:r>
      <w:r w:rsidR="00303E10">
        <w:rPr>
          <w:rStyle w:val="EndnoteReference"/>
          <w:sz w:val="24"/>
          <w:szCs w:val="24"/>
        </w:rPr>
        <w:endnoteReference w:id="8"/>
      </w:r>
    </w:p>
    <w:p w:rsidR="00303E10" w:rsidRDefault="00303E10" w:rsidP="00803FC4">
      <w:pPr>
        <w:spacing w:after="200" w:line="276" w:lineRule="auto"/>
        <w:rPr>
          <w:rFonts w:ascii="Calibri" w:eastAsia="Calibri" w:hAnsi="Calibri" w:cs="Times New Roman"/>
          <w:sz w:val="20"/>
          <w:szCs w:val="20"/>
        </w:rPr>
      </w:pPr>
    </w:p>
    <w:p w:rsidR="00803FC4" w:rsidRPr="0014506A" w:rsidRDefault="00803FC4" w:rsidP="00803FC4">
      <w:pPr>
        <w:spacing w:after="200" w:line="276" w:lineRule="auto"/>
        <w:rPr>
          <w:rFonts w:ascii="Calibri" w:eastAsia="Calibri" w:hAnsi="Calibri" w:cs="Times New Roman"/>
          <w:b/>
          <w:i/>
        </w:rPr>
      </w:pPr>
      <w:r w:rsidRPr="0014506A">
        <w:rPr>
          <w:rFonts w:ascii="Calibri" w:eastAsia="Calibri" w:hAnsi="Calibri" w:cs="Times New Roman"/>
          <w:b/>
          <w:i/>
          <w:sz w:val="24"/>
        </w:rPr>
        <w:t xml:space="preserve">Percent of children in </w:t>
      </w:r>
      <w:r w:rsidR="00C866DE" w:rsidRPr="0014506A">
        <w:rPr>
          <w:rFonts w:ascii="Calibri" w:eastAsia="Calibri" w:hAnsi="Calibri" w:cs="Times New Roman"/>
          <w:b/>
          <w:i/>
          <w:sz w:val="24"/>
        </w:rPr>
        <w:t>single-parent</w:t>
      </w:r>
      <w:r w:rsidR="00A02519" w:rsidRPr="0014506A">
        <w:rPr>
          <w:rFonts w:ascii="Calibri" w:eastAsia="Calibri" w:hAnsi="Calibri" w:cs="Times New Roman"/>
          <w:b/>
          <w:i/>
          <w:sz w:val="24"/>
        </w:rPr>
        <w:t xml:space="preserve"> families</w:t>
      </w:r>
    </w:p>
    <w:p w:rsidR="00803FC4" w:rsidRPr="00803FC4" w:rsidRDefault="00A02519" w:rsidP="00803FC4">
      <w:pPr>
        <w:spacing w:after="0" w:line="240" w:lineRule="auto"/>
        <w:rPr>
          <w:rFonts w:ascii="Calibri" w:eastAsia="Times New Roman" w:hAnsi="Calibri" w:cs="Times New Roman"/>
          <w:b/>
          <w:sz w:val="24"/>
        </w:rPr>
      </w:pPr>
      <w:r>
        <w:rPr>
          <w:rFonts w:ascii="Calibri" w:eastAsia="Times New Roman" w:hAnsi="Calibri" w:cs="Times New Roman"/>
          <w:b/>
          <w:noProof/>
          <w:sz w:val="24"/>
        </w:rPr>
        <w:drawing>
          <wp:inline distT="0" distB="0" distL="0" distR="0" wp14:anchorId="08D45DAE" wp14:editId="561A8A24">
            <wp:extent cx="5486400" cy="32004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3FC4" w:rsidRPr="00803FC4" w:rsidRDefault="00803FC4" w:rsidP="00803FC4">
      <w:pPr>
        <w:spacing w:after="200" w:line="276" w:lineRule="auto"/>
        <w:rPr>
          <w:rFonts w:ascii="Calibri" w:eastAsia="Calibri" w:hAnsi="Calibri" w:cs="Times New Roman"/>
          <w:i/>
        </w:rPr>
      </w:pPr>
      <w:r w:rsidRPr="00803FC4">
        <w:rPr>
          <w:rFonts w:ascii="Calibri" w:eastAsia="Calibri" w:hAnsi="Calibri" w:cs="Times New Roman"/>
          <w:i/>
        </w:rPr>
        <w:t>Source: County Health Rankings</w:t>
      </w:r>
      <w:r w:rsidR="006665E1">
        <w:rPr>
          <w:rFonts w:ascii="Calibri" w:eastAsia="Calibri" w:hAnsi="Calibri" w:cs="Times New Roman"/>
          <w:i/>
        </w:rPr>
        <w:t>, 2017</w:t>
      </w:r>
    </w:p>
    <w:p w:rsidR="00803FC4" w:rsidRPr="00803FC4" w:rsidRDefault="00803FC4" w:rsidP="00803FC4">
      <w:pPr>
        <w:spacing w:after="0" w:line="240" w:lineRule="auto"/>
        <w:rPr>
          <w:rFonts w:ascii="Calibri" w:eastAsia="Times New Roman" w:hAnsi="Calibri" w:cs="Times New Roman"/>
          <w:b/>
          <w:sz w:val="24"/>
        </w:rPr>
      </w:pP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lastRenderedPageBreak/>
        <w:t>Community and Personal Safety</w:t>
      </w:r>
    </w:p>
    <w:p w:rsidR="00803FC4" w:rsidRPr="00803FC4" w:rsidRDefault="004A4278" w:rsidP="00067187">
      <w:pPr>
        <w:spacing w:after="200" w:line="276" w:lineRule="auto"/>
        <w:rPr>
          <w:rFonts w:ascii="Calibri" w:eastAsia="Calibri" w:hAnsi="Calibri" w:cs="Times New Roman"/>
          <w:sz w:val="24"/>
        </w:rPr>
      </w:pPr>
      <w:r>
        <w:rPr>
          <w:rFonts w:ascii="Calibri" w:eastAsia="Calibri" w:hAnsi="Calibri" w:cs="Times New Roman"/>
          <w:sz w:val="24"/>
        </w:rPr>
        <w:t xml:space="preserve">Factors including income, employment, and education can </w:t>
      </w:r>
      <w:r w:rsidR="00803FC4" w:rsidRPr="00803FC4">
        <w:rPr>
          <w:rFonts w:ascii="Calibri" w:eastAsia="Calibri" w:hAnsi="Calibri" w:cs="Times New Roman"/>
          <w:sz w:val="24"/>
        </w:rPr>
        <w:t>influence where people live and the oppo</w:t>
      </w:r>
      <w:r>
        <w:rPr>
          <w:rFonts w:ascii="Calibri" w:eastAsia="Calibri" w:hAnsi="Calibri" w:cs="Times New Roman"/>
          <w:sz w:val="24"/>
        </w:rPr>
        <w:t>rtunity they have to be healthy. These factors can also be linked to individuals and their experience of</w:t>
      </w:r>
      <w:r w:rsidR="00803FC4" w:rsidRPr="00803FC4">
        <w:rPr>
          <w:rFonts w:ascii="Calibri" w:eastAsia="Calibri" w:hAnsi="Calibri" w:cs="Times New Roman"/>
          <w:sz w:val="24"/>
        </w:rPr>
        <w:t xml:space="preserve"> violence</w:t>
      </w:r>
      <w:r>
        <w:rPr>
          <w:rFonts w:ascii="Calibri" w:eastAsia="Calibri" w:hAnsi="Calibri" w:cs="Times New Roman"/>
          <w:sz w:val="24"/>
        </w:rPr>
        <w:t xml:space="preserve"> within their life</w:t>
      </w:r>
      <w:r w:rsidR="00803FC4" w:rsidRPr="00803FC4">
        <w:rPr>
          <w:rFonts w:ascii="Calibri" w:eastAsia="Calibri" w:hAnsi="Calibri" w:cs="Times New Roman"/>
          <w:sz w:val="24"/>
        </w:rPr>
        <w:t>.  Violence is not randomly distributed; some regions are more affected by crime than others.</w:t>
      </w:r>
    </w:p>
    <w:p w:rsidR="002345F3" w:rsidRDefault="004A4278" w:rsidP="00067187">
      <w:pPr>
        <w:spacing w:line="276" w:lineRule="auto"/>
        <w:rPr>
          <w:sz w:val="24"/>
          <w:szCs w:val="24"/>
        </w:rPr>
      </w:pPr>
      <w:r>
        <w:rPr>
          <w:sz w:val="24"/>
          <w:szCs w:val="24"/>
        </w:rPr>
        <w:t>While crime rates across the Horizon CHB are not particularly high, it is imperative for violence and personal safety to be addressed</w:t>
      </w:r>
      <w:r w:rsidR="002345F3">
        <w:rPr>
          <w:sz w:val="24"/>
          <w:szCs w:val="24"/>
        </w:rPr>
        <w:t xml:space="preserve"> due to the growing diversity of issues</w:t>
      </w:r>
      <w:r>
        <w:rPr>
          <w:sz w:val="24"/>
          <w:szCs w:val="24"/>
        </w:rPr>
        <w:t>. When community members do not feel safe, this can affect relationships and social connections that are made.</w:t>
      </w:r>
      <w:r w:rsidR="002345F3">
        <w:rPr>
          <w:sz w:val="24"/>
          <w:szCs w:val="24"/>
        </w:rPr>
        <w:t xml:space="preserve"> Some communities have implemented neighborhood crime watches to help increase awareness of different issues in the community, while bringing the community together.</w:t>
      </w:r>
    </w:p>
    <w:p w:rsidR="00765736" w:rsidRDefault="00765736" w:rsidP="00067187">
      <w:pPr>
        <w:spacing w:line="276" w:lineRule="auto"/>
        <w:rPr>
          <w:sz w:val="24"/>
          <w:szCs w:val="24"/>
        </w:rPr>
      </w:pPr>
      <w:r>
        <w:rPr>
          <w:sz w:val="24"/>
          <w:szCs w:val="24"/>
        </w:rPr>
        <w:t>Additionally, social services has indicated that a growing number of adult protection cases are related to self neglect and financial exploitation. Self neglect can be mitigated when there is adequate informal and formal social support and services for the individual. Financial exploitation also is a growing concern, which can interfere with an individual’s safety.</w:t>
      </w:r>
    </w:p>
    <w:p w:rsidR="00803FC4" w:rsidRPr="004A4278" w:rsidRDefault="004A4278" w:rsidP="00067187">
      <w:pPr>
        <w:spacing w:line="276" w:lineRule="auto"/>
        <w:rPr>
          <w:sz w:val="24"/>
          <w:szCs w:val="24"/>
        </w:rPr>
      </w:pPr>
      <w:r>
        <w:rPr>
          <w:sz w:val="24"/>
          <w:szCs w:val="24"/>
        </w:rPr>
        <w:t xml:space="preserve"> Within the Minnesota Student Survey, there were questions asked to students regarding their feelings of safety. </w:t>
      </w:r>
      <w:r w:rsidR="00A62E80">
        <w:rPr>
          <w:sz w:val="24"/>
          <w:szCs w:val="24"/>
        </w:rPr>
        <w:t>Over 75% of students in</w:t>
      </w:r>
      <w:r>
        <w:rPr>
          <w:sz w:val="24"/>
          <w:szCs w:val="24"/>
        </w:rPr>
        <w:t xml:space="preserve"> the Horizon </w:t>
      </w:r>
      <w:r w:rsidR="00187080">
        <w:rPr>
          <w:sz w:val="24"/>
          <w:szCs w:val="24"/>
        </w:rPr>
        <w:t>CHB service area</w:t>
      </w:r>
      <w:r>
        <w:rPr>
          <w:sz w:val="24"/>
          <w:szCs w:val="24"/>
        </w:rPr>
        <w:t xml:space="preserve"> either strongly agreed or agreed with statements regarding their</w:t>
      </w:r>
      <w:r w:rsidR="00A62E80">
        <w:rPr>
          <w:sz w:val="24"/>
          <w:szCs w:val="24"/>
        </w:rPr>
        <w:t xml:space="preserve"> safety in and around s</w:t>
      </w:r>
      <w:r w:rsidR="00551FD3">
        <w:rPr>
          <w:sz w:val="24"/>
          <w:szCs w:val="24"/>
        </w:rPr>
        <w:t>cho</w:t>
      </w:r>
      <w:r w:rsidR="00E33B1E">
        <w:rPr>
          <w:sz w:val="24"/>
          <w:szCs w:val="24"/>
        </w:rPr>
        <w:t>ol, a</w:t>
      </w:r>
      <w:r w:rsidR="00303E10">
        <w:rPr>
          <w:sz w:val="24"/>
          <w:szCs w:val="24"/>
        </w:rPr>
        <w:t xml:space="preserve">s well as at their home. </w:t>
      </w:r>
      <w:r w:rsidR="00303E10">
        <w:rPr>
          <w:rStyle w:val="EndnoteReference"/>
          <w:sz w:val="24"/>
          <w:szCs w:val="24"/>
        </w:rPr>
        <w:endnoteReference w:id="9"/>
      </w:r>
      <w:r w:rsidR="003825CE">
        <w:rPr>
          <w:sz w:val="24"/>
          <w:szCs w:val="24"/>
        </w:rPr>
        <w:t xml:space="preserve"> </w:t>
      </w:r>
    </w:p>
    <w:p w:rsidR="00803FC4" w:rsidRPr="00803FC4" w:rsidRDefault="00803FC4" w:rsidP="00803FC4">
      <w:pPr>
        <w:spacing w:after="0" w:line="240" w:lineRule="auto"/>
        <w:rPr>
          <w:rFonts w:ascii="Calibri" w:eastAsia="Times New Roman" w:hAnsi="Calibri" w:cs="Times New Roman"/>
          <w:sz w:val="24"/>
        </w:rPr>
      </w:pP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Access to Health Care</w:t>
      </w:r>
    </w:p>
    <w:p w:rsidR="005755A8" w:rsidRDefault="00803FC4" w:rsidP="00067187">
      <w:pPr>
        <w:spacing w:line="276" w:lineRule="auto"/>
        <w:rPr>
          <w:sz w:val="24"/>
          <w:szCs w:val="24"/>
        </w:rPr>
      </w:pPr>
      <w:r w:rsidRPr="00803FC4">
        <w:rPr>
          <w:rFonts w:ascii="Calibri" w:eastAsia="Calibri" w:hAnsi="Calibri" w:cs="Times New Roman"/>
          <w:sz w:val="24"/>
          <w:szCs w:val="24"/>
        </w:rPr>
        <w:t>A number of factors that shape the opportunity for health in Minnesota and the Ho</w:t>
      </w:r>
      <w:r w:rsidR="009D489C">
        <w:rPr>
          <w:rFonts w:ascii="Calibri" w:eastAsia="Calibri" w:hAnsi="Calibri" w:cs="Times New Roman"/>
          <w:sz w:val="24"/>
          <w:szCs w:val="24"/>
        </w:rPr>
        <w:t xml:space="preserve">rizon Community Health </w:t>
      </w:r>
      <w:r w:rsidR="000A29BC">
        <w:rPr>
          <w:rFonts w:ascii="Calibri" w:eastAsia="Calibri" w:hAnsi="Calibri" w:cs="Times New Roman"/>
          <w:sz w:val="24"/>
          <w:szCs w:val="24"/>
        </w:rPr>
        <w:t>Board area</w:t>
      </w:r>
      <w:r w:rsidR="009D489C">
        <w:rPr>
          <w:rFonts w:ascii="Calibri" w:eastAsia="Calibri" w:hAnsi="Calibri" w:cs="Times New Roman"/>
          <w:sz w:val="24"/>
          <w:szCs w:val="24"/>
        </w:rPr>
        <w:t xml:space="preserve"> include</w:t>
      </w:r>
      <w:r w:rsidR="005755A8">
        <w:rPr>
          <w:rFonts w:ascii="Calibri" w:eastAsia="Calibri" w:hAnsi="Calibri" w:cs="Times New Roman"/>
          <w:sz w:val="24"/>
          <w:szCs w:val="24"/>
        </w:rPr>
        <w:t xml:space="preserve"> </w:t>
      </w:r>
      <w:r w:rsidRPr="00803FC4">
        <w:rPr>
          <w:rFonts w:ascii="Calibri" w:eastAsia="Calibri" w:hAnsi="Calibri" w:cs="Times New Roman"/>
          <w:sz w:val="24"/>
          <w:szCs w:val="24"/>
        </w:rPr>
        <w:t>education, employment, an</w:t>
      </w:r>
      <w:r w:rsidR="005755A8">
        <w:rPr>
          <w:rFonts w:ascii="Calibri" w:eastAsia="Calibri" w:hAnsi="Calibri" w:cs="Times New Roman"/>
          <w:sz w:val="24"/>
          <w:szCs w:val="24"/>
        </w:rPr>
        <w:t>d tran</w:t>
      </w:r>
      <w:r w:rsidR="009D489C">
        <w:rPr>
          <w:rFonts w:ascii="Calibri" w:eastAsia="Calibri" w:hAnsi="Calibri" w:cs="Times New Roman"/>
          <w:sz w:val="24"/>
          <w:szCs w:val="24"/>
        </w:rPr>
        <w:t>sportation. These, as well as many other factors,</w:t>
      </w:r>
      <w:r w:rsidR="005755A8">
        <w:rPr>
          <w:rFonts w:ascii="Calibri" w:eastAsia="Calibri" w:hAnsi="Calibri" w:cs="Times New Roman"/>
          <w:sz w:val="24"/>
          <w:szCs w:val="24"/>
        </w:rPr>
        <w:t xml:space="preserve"> can </w:t>
      </w:r>
      <w:r w:rsidRPr="00803FC4">
        <w:rPr>
          <w:rFonts w:ascii="Calibri" w:eastAsia="Calibri" w:hAnsi="Calibri" w:cs="Times New Roman"/>
          <w:sz w:val="24"/>
          <w:szCs w:val="24"/>
        </w:rPr>
        <w:t>also affect access to health care.  In addition, the health care workforce and the</w:t>
      </w:r>
      <w:r w:rsidR="00E37402">
        <w:rPr>
          <w:rFonts w:ascii="Calibri" w:eastAsia="Calibri" w:hAnsi="Calibri" w:cs="Times New Roman"/>
          <w:sz w:val="24"/>
          <w:szCs w:val="24"/>
        </w:rPr>
        <w:t xml:space="preserve"> ability to acquire health </w:t>
      </w:r>
      <w:r w:rsidRPr="00803FC4">
        <w:rPr>
          <w:rFonts w:ascii="Calibri" w:eastAsia="Calibri" w:hAnsi="Calibri" w:cs="Times New Roman"/>
          <w:sz w:val="24"/>
          <w:szCs w:val="24"/>
        </w:rPr>
        <w:t xml:space="preserve">insurance also have an effect on the ability to receive health care.  </w:t>
      </w:r>
      <w:r w:rsidR="005755A8">
        <w:rPr>
          <w:sz w:val="24"/>
          <w:szCs w:val="24"/>
        </w:rPr>
        <w:t>Access to healthcare servi</w:t>
      </w:r>
      <w:r w:rsidR="00E37402">
        <w:rPr>
          <w:sz w:val="24"/>
          <w:szCs w:val="24"/>
        </w:rPr>
        <w:t xml:space="preserve">ces varies by state and region and </w:t>
      </w:r>
      <w:r w:rsidR="009D489C">
        <w:rPr>
          <w:sz w:val="24"/>
          <w:szCs w:val="24"/>
        </w:rPr>
        <w:t>additional</w:t>
      </w:r>
      <w:r w:rsidR="005755A8">
        <w:rPr>
          <w:sz w:val="24"/>
          <w:szCs w:val="24"/>
        </w:rPr>
        <w:t xml:space="preserve"> challenge</w:t>
      </w:r>
      <w:r w:rsidR="009D489C">
        <w:rPr>
          <w:sz w:val="24"/>
          <w:szCs w:val="24"/>
        </w:rPr>
        <w:t xml:space="preserve">s </w:t>
      </w:r>
      <w:r w:rsidR="00E37402">
        <w:rPr>
          <w:sz w:val="24"/>
          <w:szCs w:val="24"/>
        </w:rPr>
        <w:t xml:space="preserve">occur related to </w:t>
      </w:r>
      <w:r w:rsidR="009D489C">
        <w:rPr>
          <w:sz w:val="24"/>
          <w:szCs w:val="24"/>
        </w:rPr>
        <w:t>the</w:t>
      </w:r>
      <w:r w:rsidR="005755A8">
        <w:rPr>
          <w:sz w:val="24"/>
          <w:szCs w:val="24"/>
        </w:rPr>
        <w:t xml:space="preserve"> geographic and rural location</w:t>
      </w:r>
      <w:r w:rsidR="009D489C">
        <w:rPr>
          <w:sz w:val="24"/>
          <w:szCs w:val="24"/>
        </w:rPr>
        <w:t>s</w:t>
      </w:r>
      <w:r w:rsidR="005755A8">
        <w:rPr>
          <w:sz w:val="24"/>
          <w:szCs w:val="24"/>
        </w:rPr>
        <w:t xml:space="preserve"> of the Horizon </w:t>
      </w:r>
      <w:r w:rsidR="00187080">
        <w:rPr>
          <w:sz w:val="24"/>
          <w:szCs w:val="24"/>
        </w:rPr>
        <w:t>CHB service area</w:t>
      </w:r>
      <w:r w:rsidR="005755A8">
        <w:rPr>
          <w:sz w:val="24"/>
          <w:szCs w:val="24"/>
        </w:rPr>
        <w:t xml:space="preserve">. </w:t>
      </w:r>
    </w:p>
    <w:p w:rsidR="00803FC4" w:rsidRDefault="00FF45E9" w:rsidP="00067187">
      <w:pPr>
        <w:spacing w:after="200" w:line="276" w:lineRule="auto"/>
        <w:rPr>
          <w:rFonts w:ascii="Calibri" w:eastAsia="Calibri" w:hAnsi="Calibri" w:cs="Times New Roman"/>
          <w:sz w:val="24"/>
          <w:szCs w:val="24"/>
        </w:rPr>
      </w:pPr>
      <w:r>
        <w:rPr>
          <w:rFonts w:ascii="Calibri" w:eastAsia="Calibri" w:hAnsi="Calibri" w:cs="Times New Roman"/>
          <w:sz w:val="24"/>
          <w:szCs w:val="24"/>
        </w:rPr>
        <w:t>In comparison with dentists, Stevens</w:t>
      </w:r>
      <w:r w:rsidR="00803FC4" w:rsidRPr="00803FC4">
        <w:rPr>
          <w:rFonts w:ascii="Calibri" w:eastAsia="Calibri" w:hAnsi="Calibri" w:cs="Times New Roman"/>
          <w:sz w:val="24"/>
          <w:szCs w:val="24"/>
        </w:rPr>
        <w:t xml:space="preserve"> </w:t>
      </w:r>
      <w:r>
        <w:rPr>
          <w:rFonts w:ascii="Calibri" w:eastAsia="Calibri" w:hAnsi="Calibri" w:cs="Times New Roman"/>
          <w:sz w:val="24"/>
          <w:szCs w:val="24"/>
        </w:rPr>
        <w:t>County</w:t>
      </w:r>
      <w:r w:rsidR="00803FC4" w:rsidRPr="00803FC4">
        <w:rPr>
          <w:rFonts w:ascii="Calibri" w:eastAsia="Calibri" w:hAnsi="Calibri" w:cs="Times New Roman"/>
          <w:sz w:val="24"/>
          <w:szCs w:val="24"/>
        </w:rPr>
        <w:t xml:space="preserve"> has the </w:t>
      </w:r>
      <w:r>
        <w:rPr>
          <w:rFonts w:ascii="Calibri" w:eastAsia="Calibri" w:hAnsi="Calibri" w:cs="Times New Roman"/>
          <w:sz w:val="24"/>
          <w:szCs w:val="24"/>
        </w:rPr>
        <w:t>lowest ratio</w:t>
      </w:r>
      <w:r w:rsidR="00803FC4" w:rsidRPr="00803FC4">
        <w:rPr>
          <w:rFonts w:ascii="Calibri" w:eastAsia="Calibri" w:hAnsi="Calibri" w:cs="Times New Roman"/>
          <w:sz w:val="24"/>
          <w:szCs w:val="24"/>
        </w:rPr>
        <w:t xml:space="preserve"> of </w:t>
      </w:r>
      <w:r>
        <w:rPr>
          <w:rFonts w:ascii="Calibri" w:eastAsia="Calibri" w:hAnsi="Calibri" w:cs="Times New Roman"/>
          <w:sz w:val="24"/>
          <w:szCs w:val="24"/>
        </w:rPr>
        <w:t xml:space="preserve">one </w:t>
      </w:r>
      <w:r w:rsidR="00803FC4" w:rsidRPr="00803FC4">
        <w:rPr>
          <w:rFonts w:ascii="Calibri" w:eastAsia="Calibri" w:hAnsi="Calibri" w:cs="Times New Roman"/>
          <w:sz w:val="24"/>
          <w:szCs w:val="24"/>
        </w:rPr>
        <w:t>dentist</w:t>
      </w:r>
      <w:r>
        <w:rPr>
          <w:rFonts w:ascii="Calibri" w:eastAsia="Calibri" w:hAnsi="Calibri" w:cs="Times New Roman"/>
          <w:sz w:val="24"/>
          <w:szCs w:val="24"/>
        </w:rPr>
        <w:t xml:space="preserve"> to every 1,400 patients</w:t>
      </w:r>
      <w:r w:rsidR="00803FC4" w:rsidRPr="00803FC4">
        <w:rPr>
          <w:rFonts w:ascii="Calibri" w:eastAsia="Calibri" w:hAnsi="Calibri" w:cs="Times New Roman"/>
          <w:sz w:val="24"/>
          <w:szCs w:val="24"/>
        </w:rPr>
        <w:t xml:space="preserve">.  </w:t>
      </w:r>
      <w:r>
        <w:rPr>
          <w:rFonts w:ascii="Calibri" w:eastAsia="Calibri" w:hAnsi="Calibri" w:cs="Times New Roman"/>
          <w:sz w:val="24"/>
          <w:szCs w:val="24"/>
        </w:rPr>
        <w:t xml:space="preserve">Additionally, Pope County has the highest ratio, </w:t>
      </w:r>
      <w:r w:rsidR="009928B6">
        <w:rPr>
          <w:rFonts w:ascii="Calibri" w:eastAsia="Calibri" w:hAnsi="Calibri" w:cs="Times New Roman"/>
          <w:sz w:val="24"/>
          <w:szCs w:val="24"/>
        </w:rPr>
        <w:t>with</w:t>
      </w:r>
      <w:r>
        <w:rPr>
          <w:rFonts w:ascii="Calibri" w:eastAsia="Calibri" w:hAnsi="Calibri" w:cs="Times New Roman"/>
          <w:sz w:val="24"/>
          <w:szCs w:val="24"/>
        </w:rPr>
        <w:t xml:space="preserve"> one dentist to every 3,660 patients. Douglas and Stevens County sit below the Minnesota ratio for dentists, indicating that there are a proportionate number of dentists to patients.</w:t>
      </w:r>
    </w:p>
    <w:p w:rsidR="00067187" w:rsidRPr="00C01CD4" w:rsidRDefault="009928B6" w:rsidP="00E75333">
      <w:pPr>
        <w:spacing w:line="276" w:lineRule="auto"/>
        <w:rPr>
          <w:sz w:val="24"/>
          <w:szCs w:val="24"/>
        </w:rPr>
      </w:pPr>
      <w:r>
        <w:rPr>
          <w:sz w:val="24"/>
          <w:szCs w:val="24"/>
        </w:rPr>
        <w:t>The relatively low presence of</w:t>
      </w:r>
      <w:r w:rsidR="00894976">
        <w:rPr>
          <w:sz w:val="24"/>
          <w:szCs w:val="24"/>
        </w:rPr>
        <w:t xml:space="preserve"> dentists in the Horizon CHB </w:t>
      </w:r>
      <w:r>
        <w:rPr>
          <w:sz w:val="24"/>
          <w:szCs w:val="24"/>
        </w:rPr>
        <w:t>area</w:t>
      </w:r>
      <w:r w:rsidR="00894976">
        <w:rPr>
          <w:sz w:val="24"/>
          <w:szCs w:val="24"/>
        </w:rPr>
        <w:t xml:space="preserve"> does impa</w:t>
      </w:r>
      <w:r>
        <w:rPr>
          <w:sz w:val="24"/>
          <w:szCs w:val="24"/>
        </w:rPr>
        <w:t>ir</w:t>
      </w:r>
      <w:r w:rsidR="00894976">
        <w:rPr>
          <w:sz w:val="24"/>
          <w:szCs w:val="24"/>
        </w:rPr>
        <w:t xml:space="preserve"> </w:t>
      </w:r>
      <w:r>
        <w:rPr>
          <w:sz w:val="24"/>
          <w:szCs w:val="24"/>
        </w:rPr>
        <w:t>the ability of Horizon residents</w:t>
      </w:r>
      <w:r w:rsidR="007030E7">
        <w:rPr>
          <w:sz w:val="24"/>
          <w:szCs w:val="24"/>
        </w:rPr>
        <w:t xml:space="preserve"> </w:t>
      </w:r>
      <w:r w:rsidR="00894976">
        <w:rPr>
          <w:sz w:val="24"/>
          <w:szCs w:val="24"/>
        </w:rPr>
        <w:t>to easily find a dentist that does not require them to drive to other communities, which may be 30 minutes to greater than one hour</w:t>
      </w:r>
      <w:r>
        <w:rPr>
          <w:sz w:val="24"/>
          <w:szCs w:val="24"/>
        </w:rPr>
        <w:t xml:space="preserve">. </w:t>
      </w:r>
      <w:r w:rsidR="00894976">
        <w:rPr>
          <w:sz w:val="24"/>
          <w:szCs w:val="24"/>
        </w:rPr>
        <w:t xml:space="preserve"> </w:t>
      </w:r>
      <w:r w:rsidR="007030E7">
        <w:rPr>
          <w:sz w:val="24"/>
          <w:szCs w:val="24"/>
        </w:rPr>
        <w:t xml:space="preserve">This primarily increases the struggles encountered for those individuals who receive Medicaid as their health insurance </w:t>
      </w:r>
      <w:r w:rsidR="007030E7">
        <w:rPr>
          <w:sz w:val="24"/>
          <w:szCs w:val="24"/>
        </w:rPr>
        <w:lastRenderedPageBreak/>
        <w:t>option as reimbursement percentages are lower, increasing the inequities and barriers for dentists who accept individuals with Medicaid.</w:t>
      </w:r>
    </w:p>
    <w:tbl>
      <w:tblPr>
        <w:tblStyle w:val="TableGrid"/>
        <w:tblpPr w:leftFromText="180" w:rightFromText="180" w:vertAnchor="text" w:horzAnchor="page" w:tblpX="6913" w:tblpY="162"/>
        <w:tblW w:w="0" w:type="auto"/>
        <w:tblInd w:w="0" w:type="dxa"/>
        <w:tblLook w:val="04A0" w:firstRow="1" w:lastRow="0" w:firstColumn="1" w:lastColumn="0" w:noHBand="0" w:noVBand="1"/>
      </w:tblPr>
      <w:tblGrid>
        <w:gridCol w:w="1736"/>
        <w:gridCol w:w="1469"/>
      </w:tblGrid>
      <w:tr w:rsidR="00FF45E9" w:rsidRPr="00803FC4" w:rsidTr="00067187">
        <w:trPr>
          <w:trHeight w:val="437"/>
        </w:trPr>
        <w:tc>
          <w:tcPr>
            <w:tcW w:w="1736" w:type="dxa"/>
            <w:tcBorders>
              <w:top w:val="single" w:sz="4" w:space="0" w:color="auto"/>
              <w:left w:val="single" w:sz="4" w:space="0" w:color="auto"/>
              <w:bottom w:val="single" w:sz="4" w:space="0" w:color="auto"/>
              <w:right w:val="single" w:sz="4" w:space="0" w:color="auto"/>
            </w:tcBorders>
            <w:vAlign w:val="bottom"/>
          </w:tcPr>
          <w:p w:rsidR="00FF45E9" w:rsidRPr="00803FC4" w:rsidRDefault="00FF45E9" w:rsidP="00FF45E9">
            <w:pPr>
              <w:rPr>
                <w:rFonts w:eastAsia="Times New Roman"/>
              </w:rPr>
            </w:pPr>
          </w:p>
        </w:tc>
        <w:tc>
          <w:tcPr>
            <w:tcW w:w="1469" w:type="dxa"/>
            <w:tcBorders>
              <w:top w:val="single" w:sz="4" w:space="0" w:color="auto"/>
              <w:left w:val="single" w:sz="4" w:space="0" w:color="auto"/>
              <w:bottom w:val="single" w:sz="4" w:space="0" w:color="auto"/>
              <w:right w:val="single" w:sz="4" w:space="0" w:color="auto"/>
            </w:tcBorders>
            <w:vAlign w:val="bottom"/>
            <w:hideMark/>
          </w:tcPr>
          <w:p w:rsidR="00FF45E9" w:rsidRPr="00803FC4" w:rsidRDefault="00FF45E9" w:rsidP="00FF45E9">
            <w:pPr>
              <w:jc w:val="center"/>
              <w:rPr>
                <w:rFonts w:eastAsia="Times New Roman"/>
              </w:rPr>
            </w:pPr>
            <w:r>
              <w:rPr>
                <w:rFonts w:eastAsia="Times New Roman"/>
              </w:rPr>
              <w:t>Patient to Dentist Ratio</w:t>
            </w:r>
          </w:p>
        </w:tc>
      </w:tr>
      <w:tr w:rsidR="00FF45E9" w:rsidRPr="00803FC4" w:rsidTr="00067187">
        <w:trPr>
          <w:trHeight w:val="225"/>
        </w:trPr>
        <w:tc>
          <w:tcPr>
            <w:tcW w:w="173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rPr>
                <w:rFonts w:eastAsia="Times New Roman"/>
              </w:rPr>
            </w:pPr>
            <w:r w:rsidRPr="00803FC4">
              <w:rPr>
                <w:rFonts w:eastAsia="Times New Roman"/>
              </w:rPr>
              <w:t>Douglas</w:t>
            </w:r>
          </w:p>
        </w:tc>
        <w:tc>
          <w:tcPr>
            <w:tcW w:w="14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jc w:val="center"/>
              <w:rPr>
                <w:rFonts w:eastAsia="Times New Roman"/>
              </w:rPr>
            </w:pPr>
            <w:r>
              <w:rPr>
                <w:rFonts w:eastAsia="Times New Roman"/>
              </w:rPr>
              <w:t>1,470:1</w:t>
            </w:r>
          </w:p>
        </w:tc>
      </w:tr>
      <w:tr w:rsidR="00FF45E9" w:rsidRPr="00803FC4" w:rsidTr="00067187">
        <w:trPr>
          <w:trHeight w:val="225"/>
        </w:trPr>
        <w:tc>
          <w:tcPr>
            <w:tcW w:w="1736" w:type="dxa"/>
            <w:tcBorders>
              <w:top w:val="single" w:sz="4" w:space="0" w:color="auto"/>
              <w:left w:val="single" w:sz="4" w:space="0" w:color="auto"/>
              <w:bottom w:val="single" w:sz="4" w:space="0" w:color="auto"/>
              <w:right w:val="single" w:sz="4" w:space="0" w:color="auto"/>
            </w:tcBorders>
            <w:vAlign w:val="center"/>
            <w:hideMark/>
          </w:tcPr>
          <w:p w:rsidR="00FF45E9" w:rsidRPr="00803FC4" w:rsidRDefault="00FF45E9" w:rsidP="00FF45E9">
            <w:pPr>
              <w:rPr>
                <w:rFonts w:eastAsia="Times New Roman"/>
              </w:rPr>
            </w:pPr>
            <w:r w:rsidRPr="00803FC4">
              <w:rPr>
                <w:rFonts w:eastAsia="Times New Roman"/>
              </w:rPr>
              <w:t>Grant</w:t>
            </w:r>
          </w:p>
        </w:tc>
        <w:tc>
          <w:tcPr>
            <w:tcW w:w="1469" w:type="dxa"/>
            <w:tcBorders>
              <w:top w:val="single" w:sz="4" w:space="0" w:color="auto"/>
              <w:left w:val="single" w:sz="4" w:space="0" w:color="auto"/>
              <w:bottom w:val="single" w:sz="4" w:space="0" w:color="auto"/>
              <w:right w:val="single" w:sz="4" w:space="0" w:color="auto"/>
            </w:tcBorders>
            <w:vAlign w:val="center"/>
            <w:hideMark/>
          </w:tcPr>
          <w:p w:rsidR="00FF45E9" w:rsidRPr="00803FC4" w:rsidRDefault="00FF45E9" w:rsidP="00FF45E9">
            <w:pPr>
              <w:jc w:val="center"/>
              <w:rPr>
                <w:rFonts w:eastAsia="Times New Roman"/>
              </w:rPr>
            </w:pPr>
            <w:r>
              <w:rPr>
                <w:rFonts w:eastAsia="Times New Roman"/>
              </w:rPr>
              <w:t>2,980:1</w:t>
            </w:r>
          </w:p>
        </w:tc>
      </w:tr>
      <w:tr w:rsidR="00FF45E9" w:rsidRPr="00803FC4" w:rsidTr="00067187">
        <w:trPr>
          <w:trHeight w:val="212"/>
        </w:trPr>
        <w:tc>
          <w:tcPr>
            <w:tcW w:w="173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rPr>
                <w:rFonts w:eastAsia="Times New Roman"/>
              </w:rPr>
            </w:pPr>
            <w:r w:rsidRPr="00803FC4">
              <w:rPr>
                <w:rFonts w:eastAsia="Times New Roman"/>
              </w:rPr>
              <w:t>Pope</w:t>
            </w:r>
          </w:p>
        </w:tc>
        <w:tc>
          <w:tcPr>
            <w:tcW w:w="14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jc w:val="center"/>
              <w:rPr>
                <w:rFonts w:eastAsia="Times New Roman"/>
              </w:rPr>
            </w:pPr>
            <w:r>
              <w:rPr>
                <w:rFonts w:eastAsia="Times New Roman"/>
              </w:rPr>
              <w:t>3,660:1</w:t>
            </w:r>
          </w:p>
        </w:tc>
      </w:tr>
      <w:tr w:rsidR="00FF45E9" w:rsidRPr="00803FC4" w:rsidTr="00067187">
        <w:trPr>
          <w:trHeight w:val="225"/>
        </w:trPr>
        <w:tc>
          <w:tcPr>
            <w:tcW w:w="1736" w:type="dxa"/>
            <w:tcBorders>
              <w:top w:val="single" w:sz="4" w:space="0" w:color="auto"/>
              <w:left w:val="single" w:sz="4" w:space="0" w:color="auto"/>
              <w:bottom w:val="single" w:sz="4" w:space="0" w:color="auto"/>
              <w:right w:val="single" w:sz="4" w:space="0" w:color="auto"/>
            </w:tcBorders>
            <w:vAlign w:val="center"/>
            <w:hideMark/>
          </w:tcPr>
          <w:p w:rsidR="00FF45E9" w:rsidRPr="00803FC4" w:rsidRDefault="00FF45E9" w:rsidP="00FF45E9">
            <w:pPr>
              <w:rPr>
                <w:rFonts w:eastAsia="Times New Roman"/>
              </w:rPr>
            </w:pPr>
            <w:r w:rsidRPr="00803FC4">
              <w:rPr>
                <w:rFonts w:eastAsia="Times New Roman"/>
              </w:rPr>
              <w:t>Stevens</w:t>
            </w:r>
          </w:p>
        </w:tc>
        <w:tc>
          <w:tcPr>
            <w:tcW w:w="1469" w:type="dxa"/>
            <w:tcBorders>
              <w:top w:val="single" w:sz="4" w:space="0" w:color="auto"/>
              <w:left w:val="single" w:sz="4" w:space="0" w:color="auto"/>
              <w:bottom w:val="single" w:sz="4" w:space="0" w:color="auto"/>
              <w:right w:val="single" w:sz="4" w:space="0" w:color="auto"/>
            </w:tcBorders>
            <w:vAlign w:val="center"/>
            <w:hideMark/>
          </w:tcPr>
          <w:p w:rsidR="00FF45E9" w:rsidRPr="00803FC4" w:rsidRDefault="00FF45E9" w:rsidP="00FF45E9">
            <w:pPr>
              <w:jc w:val="center"/>
              <w:rPr>
                <w:rFonts w:eastAsia="Times New Roman"/>
              </w:rPr>
            </w:pPr>
            <w:r>
              <w:rPr>
                <w:rFonts w:eastAsia="Times New Roman"/>
              </w:rPr>
              <w:t>1,400:1</w:t>
            </w:r>
          </w:p>
        </w:tc>
      </w:tr>
      <w:tr w:rsidR="00FF45E9" w:rsidRPr="00803FC4" w:rsidTr="00067187">
        <w:trPr>
          <w:trHeight w:val="225"/>
        </w:trPr>
        <w:tc>
          <w:tcPr>
            <w:tcW w:w="173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rPr>
                <w:rFonts w:eastAsia="Times New Roman"/>
              </w:rPr>
            </w:pPr>
            <w:r w:rsidRPr="00803FC4">
              <w:rPr>
                <w:rFonts w:eastAsia="Times New Roman"/>
              </w:rPr>
              <w:t>Traverse</w:t>
            </w:r>
          </w:p>
        </w:tc>
        <w:tc>
          <w:tcPr>
            <w:tcW w:w="14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F45E9" w:rsidRPr="00803FC4" w:rsidRDefault="00FF45E9" w:rsidP="00FF45E9">
            <w:pPr>
              <w:jc w:val="center"/>
              <w:rPr>
                <w:rFonts w:eastAsia="Times New Roman"/>
              </w:rPr>
            </w:pPr>
            <w:r>
              <w:rPr>
                <w:rFonts w:eastAsia="Times New Roman"/>
              </w:rPr>
              <w:t>3,390:1</w:t>
            </w:r>
          </w:p>
        </w:tc>
      </w:tr>
      <w:tr w:rsidR="00FF45E9" w:rsidRPr="00803FC4" w:rsidTr="00067187">
        <w:trPr>
          <w:trHeight w:val="225"/>
        </w:trPr>
        <w:tc>
          <w:tcPr>
            <w:tcW w:w="17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5E9" w:rsidRPr="00803FC4" w:rsidRDefault="00FF45E9" w:rsidP="00FF45E9">
            <w:pPr>
              <w:rPr>
                <w:rFonts w:eastAsia="Times New Roman"/>
              </w:rPr>
            </w:pPr>
            <w:r>
              <w:rPr>
                <w:rFonts w:eastAsia="Times New Roman"/>
              </w:rPr>
              <w:t>Minnesota</w:t>
            </w:r>
          </w:p>
        </w:tc>
        <w:tc>
          <w:tcPr>
            <w:tcW w:w="14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F45E9" w:rsidRDefault="00FF45E9" w:rsidP="00FF45E9">
            <w:pPr>
              <w:jc w:val="center"/>
              <w:rPr>
                <w:rFonts w:eastAsia="Times New Roman"/>
              </w:rPr>
            </w:pPr>
            <w:r>
              <w:rPr>
                <w:rFonts w:eastAsia="Times New Roman"/>
              </w:rPr>
              <w:t>1,500:1</w:t>
            </w:r>
          </w:p>
        </w:tc>
      </w:tr>
    </w:tbl>
    <w:p w:rsidR="00FF45E9" w:rsidRDefault="00FF45E9" w:rsidP="00803FC4">
      <w:pPr>
        <w:spacing w:after="0" w:line="240" w:lineRule="auto"/>
        <w:rPr>
          <w:rFonts w:ascii="Calibri" w:eastAsia="Times New Roman" w:hAnsi="Calibri" w:cs="Times New Roman"/>
          <w:b/>
          <w:sz w:val="24"/>
        </w:rPr>
      </w:pPr>
    </w:p>
    <w:p w:rsidR="00FF45E9" w:rsidRDefault="00FF45E9" w:rsidP="00803FC4">
      <w:pPr>
        <w:spacing w:after="0" w:line="240" w:lineRule="auto"/>
        <w:rPr>
          <w:rFonts w:ascii="Calibri" w:eastAsia="Times New Roman" w:hAnsi="Calibri" w:cs="Times New Roman"/>
          <w:b/>
          <w:sz w:val="24"/>
        </w:rPr>
      </w:pPr>
    </w:p>
    <w:p w:rsidR="00FF45E9" w:rsidRDefault="00FF45E9" w:rsidP="00803FC4">
      <w:pPr>
        <w:spacing w:after="0" w:line="240" w:lineRule="auto"/>
        <w:rPr>
          <w:rFonts w:ascii="Calibri" w:eastAsia="Times New Roman" w:hAnsi="Calibri" w:cs="Times New Roman"/>
          <w:b/>
          <w:sz w:val="24"/>
        </w:rPr>
      </w:pPr>
    </w:p>
    <w:p w:rsidR="00FF45E9" w:rsidRDefault="00FF45E9" w:rsidP="00803FC4">
      <w:pPr>
        <w:spacing w:after="0" w:line="240" w:lineRule="auto"/>
        <w:rPr>
          <w:rFonts w:ascii="Calibri" w:eastAsia="Times New Roman" w:hAnsi="Calibri" w:cs="Times New Roman"/>
          <w:b/>
          <w:sz w:val="24"/>
        </w:rPr>
      </w:pPr>
      <w:r w:rsidRPr="00803FC4">
        <w:rPr>
          <w:rFonts w:ascii="Calibri" w:eastAsia="Times New Roman" w:hAnsi="Calibri" w:cs="Times New Roman"/>
          <w:b/>
          <w:sz w:val="24"/>
        </w:rPr>
        <w:t>Dentist</w:t>
      </w:r>
      <w:r>
        <w:rPr>
          <w:rFonts w:ascii="Calibri" w:eastAsia="Times New Roman" w:hAnsi="Calibri" w:cs="Times New Roman"/>
          <w:b/>
          <w:sz w:val="24"/>
        </w:rPr>
        <w:t>s in Minnesota: 2013</w:t>
      </w:r>
    </w:p>
    <w:p w:rsidR="00FF45E9" w:rsidRDefault="00FF45E9" w:rsidP="00803FC4">
      <w:pPr>
        <w:spacing w:after="0" w:line="240" w:lineRule="auto"/>
        <w:rPr>
          <w:rFonts w:ascii="Calibri" w:eastAsia="Times New Roman" w:hAnsi="Calibri" w:cs="Times New Roman"/>
          <w:b/>
          <w:sz w:val="24"/>
        </w:rPr>
      </w:pPr>
    </w:p>
    <w:p w:rsidR="00FF45E9" w:rsidRDefault="00FF45E9" w:rsidP="00803FC4">
      <w:pPr>
        <w:spacing w:after="0" w:line="240" w:lineRule="auto"/>
        <w:rPr>
          <w:rFonts w:ascii="Calibri" w:eastAsia="Times New Roman" w:hAnsi="Calibri" w:cs="Times New Roman"/>
          <w:b/>
          <w:sz w:val="24"/>
        </w:rPr>
      </w:pPr>
    </w:p>
    <w:p w:rsidR="00FF45E9" w:rsidRDefault="00FF45E9" w:rsidP="00803FC4">
      <w:pPr>
        <w:spacing w:after="0" w:line="240" w:lineRule="auto"/>
        <w:rPr>
          <w:rFonts w:ascii="Calibri" w:eastAsia="Times New Roman" w:hAnsi="Calibri" w:cs="Times New Roman"/>
          <w:sz w:val="20"/>
          <w:szCs w:val="20"/>
        </w:rPr>
      </w:pPr>
    </w:p>
    <w:p w:rsidR="005D64FE" w:rsidRDefault="005D64FE" w:rsidP="00803FC4">
      <w:pPr>
        <w:spacing w:after="0" w:line="240" w:lineRule="auto"/>
        <w:rPr>
          <w:rFonts w:ascii="Calibri" w:eastAsia="Times New Roman" w:hAnsi="Calibri" w:cs="Times New Roman"/>
          <w:sz w:val="20"/>
          <w:szCs w:val="20"/>
        </w:rPr>
      </w:pPr>
    </w:p>
    <w:p w:rsidR="00FF45E9" w:rsidRDefault="00FF45E9" w:rsidP="00803FC4">
      <w:pPr>
        <w:spacing w:after="0" w:line="240" w:lineRule="auto"/>
        <w:rPr>
          <w:rFonts w:ascii="Calibri" w:eastAsia="Times New Roman" w:hAnsi="Calibri" w:cs="Times New Roman"/>
          <w:sz w:val="20"/>
          <w:szCs w:val="20"/>
        </w:rPr>
      </w:pPr>
    </w:p>
    <w:p w:rsidR="00FF45E9" w:rsidRDefault="00FF45E9" w:rsidP="00803FC4">
      <w:pPr>
        <w:spacing w:after="0" w:line="240" w:lineRule="auto"/>
        <w:rPr>
          <w:rFonts w:ascii="Calibri" w:eastAsia="Times New Roman" w:hAnsi="Calibri" w:cs="Times New Roman"/>
          <w:sz w:val="20"/>
          <w:szCs w:val="20"/>
        </w:rPr>
      </w:pPr>
    </w:p>
    <w:p w:rsidR="00067187" w:rsidRPr="002345F3" w:rsidRDefault="00303E10" w:rsidP="002345F3">
      <w:pPr>
        <w:spacing w:after="0" w:line="240" w:lineRule="auto"/>
        <w:rPr>
          <w:rFonts w:ascii="Calibri" w:eastAsia="Times New Roman" w:hAnsi="Calibri" w:cs="Times New Roman"/>
          <w:b/>
          <w:sz w:val="24"/>
        </w:rPr>
      </w:pPr>
      <w:r>
        <w:rPr>
          <w:rStyle w:val="EndnoteReference"/>
          <w:rFonts w:ascii="Calibri" w:eastAsia="Times New Roman" w:hAnsi="Calibri" w:cs="Times New Roman"/>
          <w:b/>
          <w:sz w:val="24"/>
        </w:rPr>
        <w:endnoteReference w:id="10"/>
      </w:r>
    </w:p>
    <w:p w:rsidR="00C01CD4" w:rsidRPr="007030E7" w:rsidRDefault="00803FC4" w:rsidP="00067187">
      <w:pPr>
        <w:spacing w:line="276" w:lineRule="auto"/>
        <w:rPr>
          <w:color w:val="44546A" w:themeColor="text2"/>
          <w:sz w:val="24"/>
          <w:szCs w:val="24"/>
        </w:rPr>
      </w:pPr>
      <w:r w:rsidRPr="00803FC4">
        <w:rPr>
          <w:rFonts w:ascii="Calibri" w:eastAsia="Calibri" w:hAnsi="Calibri" w:cs="Times New Roman"/>
          <w:sz w:val="24"/>
        </w:rPr>
        <w:t xml:space="preserve">People who are uninsured or underinsured receive less medical care than their insured counterparts.  When they do receive care, it has often been significantly delayed and their condition and final outcome is frequently worse than if they had received care right away.  In this way, the lack of health insurance creates a financial risk and a burden when care is received.  Hospital-based charity care helps uninsured and underinsured Minnesotans, but does not compensate for gaps in health insurance coverage.  Below is a chart that shows the percent of Minnesotans and people within the Horizon Community Health </w:t>
      </w:r>
      <w:r w:rsidR="009928B6">
        <w:rPr>
          <w:rFonts w:ascii="Calibri" w:eastAsia="Calibri" w:hAnsi="Calibri" w:cs="Times New Roman"/>
          <w:sz w:val="24"/>
        </w:rPr>
        <w:t>Board area</w:t>
      </w:r>
      <w:r w:rsidRPr="00803FC4">
        <w:rPr>
          <w:rFonts w:ascii="Calibri" w:eastAsia="Calibri" w:hAnsi="Calibri" w:cs="Times New Roman"/>
          <w:sz w:val="24"/>
        </w:rPr>
        <w:t xml:space="preserve"> who are uninsured based on </w:t>
      </w:r>
      <w:r w:rsidR="00B74478">
        <w:rPr>
          <w:rFonts w:ascii="Calibri" w:eastAsia="Calibri" w:hAnsi="Calibri" w:cs="Times New Roman"/>
          <w:sz w:val="24"/>
        </w:rPr>
        <w:t>2012-2015</w:t>
      </w:r>
      <w:r w:rsidRPr="00803FC4">
        <w:rPr>
          <w:rFonts w:ascii="Calibri" w:eastAsia="Calibri" w:hAnsi="Calibri" w:cs="Times New Roman"/>
          <w:sz w:val="24"/>
        </w:rPr>
        <w:t xml:space="preserve"> data. </w:t>
      </w:r>
      <w:r w:rsidR="00651469">
        <w:rPr>
          <w:rFonts w:ascii="Calibri" w:eastAsia="Calibri" w:hAnsi="Calibri" w:cs="Times New Roman"/>
          <w:sz w:val="24"/>
        </w:rPr>
        <w:t>Douglas</w:t>
      </w:r>
      <w:r w:rsidRPr="00803FC4">
        <w:rPr>
          <w:rFonts w:ascii="Calibri" w:eastAsia="Calibri" w:hAnsi="Calibri" w:cs="Times New Roman"/>
          <w:sz w:val="24"/>
        </w:rPr>
        <w:t xml:space="preserve"> County has the highest percentage</w:t>
      </w:r>
      <w:r w:rsidR="00651469">
        <w:rPr>
          <w:rFonts w:ascii="Calibri" w:eastAsia="Calibri" w:hAnsi="Calibri" w:cs="Times New Roman"/>
          <w:sz w:val="24"/>
        </w:rPr>
        <w:t xml:space="preserve"> of individuals </w:t>
      </w:r>
      <w:r w:rsidR="006500AF">
        <w:rPr>
          <w:rFonts w:ascii="Calibri" w:eastAsia="Calibri" w:hAnsi="Calibri" w:cs="Times New Roman"/>
          <w:sz w:val="24"/>
        </w:rPr>
        <w:t xml:space="preserve">who are </w:t>
      </w:r>
      <w:r w:rsidR="00651469">
        <w:rPr>
          <w:rFonts w:ascii="Calibri" w:eastAsia="Calibri" w:hAnsi="Calibri" w:cs="Times New Roman"/>
          <w:sz w:val="24"/>
        </w:rPr>
        <w:t>uninsured at 5.9 percent. Traverse</w:t>
      </w:r>
      <w:r w:rsidRPr="00803FC4">
        <w:rPr>
          <w:rFonts w:ascii="Calibri" w:eastAsia="Calibri" w:hAnsi="Calibri" w:cs="Times New Roman"/>
          <w:sz w:val="24"/>
        </w:rPr>
        <w:t xml:space="preserve"> County</w:t>
      </w:r>
      <w:r w:rsidR="00651469">
        <w:rPr>
          <w:rFonts w:ascii="Calibri" w:eastAsia="Calibri" w:hAnsi="Calibri" w:cs="Times New Roman"/>
          <w:sz w:val="24"/>
        </w:rPr>
        <w:t xml:space="preserve"> has the lowest percentage at 4 percent. All five counties sit at least one percentage point below the Minnesota average.</w:t>
      </w:r>
      <w:r w:rsidR="00B74478">
        <w:rPr>
          <w:rFonts w:ascii="Calibri" w:eastAsia="Calibri" w:hAnsi="Calibri" w:cs="Times New Roman"/>
          <w:sz w:val="24"/>
        </w:rPr>
        <w:t xml:space="preserve"> The trend shows that from the years 2013 to 2015, </w:t>
      </w:r>
      <w:r w:rsidR="00BB1DDF">
        <w:rPr>
          <w:rFonts w:ascii="Calibri" w:eastAsia="Calibri" w:hAnsi="Calibri" w:cs="Times New Roman"/>
          <w:sz w:val="24"/>
        </w:rPr>
        <w:t>rates of insured individuals have</w:t>
      </w:r>
      <w:r w:rsidR="00B74478">
        <w:rPr>
          <w:rFonts w:ascii="Calibri" w:eastAsia="Calibri" w:hAnsi="Calibri" w:cs="Times New Roman"/>
          <w:sz w:val="24"/>
        </w:rPr>
        <w:t xml:space="preserve"> been decreasing. </w:t>
      </w:r>
      <w:r w:rsidR="00BB1DDF">
        <w:rPr>
          <w:rFonts w:ascii="Calibri" w:eastAsia="Calibri" w:hAnsi="Calibri" w:cs="Times New Roman"/>
          <w:sz w:val="24"/>
        </w:rPr>
        <w:t xml:space="preserve">It is also important to note </w:t>
      </w:r>
      <w:r w:rsidR="00BB1DDF" w:rsidRPr="00BB1DDF">
        <w:rPr>
          <w:rFonts w:ascii="Calibri" w:eastAsia="Calibri" w:hAnsi="Calibri" w:cs="Times New Roman"/>
          <w:sz w:val="24"/>
        </w:rPr>
        <w:t xml:space="preserve">that </w:t>
      </w:r>
      <w:r w:rsidR="00BB1DDF" w:rsidRPr="00BB1DDF">
        <w:rPr>
          <w:sz w:val="24"/>
          <w:szCs w:val="24"/>
        </w:rPr>
        <w:t xml:space="preserve">Medicaid numbers </w:t>
      </w:r>
      <w:r w:rsidR="009928B6">
        <w:rPr>
          <w:sz w:val="24"/>
          <w:szCs w:val="24"/>
        </w:rPr>
        <w:t>have also increased</w:t>
      </w:r>
      <w:r w:rsidR="00BB1DDF" w:rsidRPr="00BB1DDF">
        <w:rPr>
          <w:sz w:val="24"/>
          <w:szCs w:val="24"/>
        </w:rPr>
        <w:t xml:space="preserve"> in relation to Minnesota voluntarily expanding </w:t>
      </w:r>
      <w:r w:rsidR="009928B6">
        <w:rPr>
          <w:sz w:val="24"/>
          <w:szCs w:val="24"/>
        </w:rPr>
        <w:t>its</w:t>
      </w:r>
      <w:r w:rsidR="00BB1DDF" w:rsidRPr="00BB1DDF">
        <w:rPr>
          <w:sz w:val="24"/>
          <w:szCs w:val="24"/>
        </w:rPr>
        <w:t xml:space="preserve"> Medicaid services </w:t>
      </w:r>
      <w:r w:rsidR="009928B6">
        <w:rPr>
          <w:sz w:val="24"/>
          <w:szCs w:val="24"/>
        </w:rPr>
        <w:t>as a result of</w:t>
      </w:r>
      <w:r w:rsidR="00BB1DDF" w:rsidRPr="00BB1DDF">
        <w:rPr>
          <w:sz w:val="24"/>
          <w:szCs w:val="24"/>
        </w:rPr>
        <w:t xml:space="preserve"> the Affordable Care Act (ACA).</w:t>
      </w:r>
    </w:p>
    <w:p w:rsidR="00B74478" w:rsidRPr="00B74478" w:rsidRDefault="00B74478" w:rsidP="00803FC4">
      <w:pPr>
        <w:spacing w:after="200" w:line="276" w:lineRule="auto"/>
        <w:rPr>
          <w:rFonts w:ascii="Calibri" w:eastAsia="Calibri" w:hAnsi="Calibri" w:cs="Times New Roman"/>
          <w:b/>
          <w:i/>
          <w:sz w:val="24"/>
        </w:rPr>
      </w:pPr>
      <w:r w:rsidRPr="00B74478">
        <w:rPr>
          <w:rFonts w:ascii="Calibri" w:eastAsia="Calibri" w:hAnsi="Calibri" w:cs="Times New Roman"/>
          <w:b/>
          <w:i/>
          <w:sz w:val="24"/>
        </w:rPr>
        <w:t>Percent of Individuals Uninsured</w:t>
      </w:r>
    </w:p>
    <w:p w:rsidR="00B74478" w:rsidRDefault="00B74478" w:rsidP="00803FC4">
      <w:pPr>
        <w:spacing w:after="200" w:line="276" w:lineRule="auto"/>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53326E2E" wp14:editId="50B9B227">
            <wp:extent cx="6381750" cy="2095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28B6" w:rsidRPr="009928B6" w:rsidRDefault="00D8166E" w:rsidP="007C12CA">
      <w:pPr>
        <w:spacing w:after="200" w:line="276" w:lineRule="auto"/>
        <w:rPr>
          <w:rFonts w:ascii="Calibri" w:eastAsia="Calibri" w:hAnsi="Calibri" w:cs="Times New Roman"/>
          <w:sz w:val="20"/>
          <w:szCs w:val="20"/>
        </w:rPr>
      </w:pPr>
      <w:r w:rsidRPr="00D8166E">
        <w:rPr>
          <w:rFonts w:ascii="Calibri" w:eastAsia="Calibri" w:hAnsi="Calibri" w:cs="Times New Roman"/>
          <w:sz w:val="20"/>
          <w:szCs w:val="20"/>
        </w:rPr>
        <w:t>S</w:t>
      </w:r>
      <w:r w:rsidR="00B74478">
        <w:rPr>
          <w:rFonts w:ascii="Calibri" w:eastAsia="Calibri" w:hAnsi="Calibri" w:cs="Times New Roman"/>
          <w:sz w:val="20"/>
          <w:szCs w:val="20"/>
        </w:rPr>
        <w:t>ource: U.S. Census Bureau, 2015; County Health Rankings, 2017</w:t>
      </w:r>
    </w:p>
    <w:p w:rsidR="002345F3" w:rsidRPr="000B1DEC" w:rsidRDefault="00335D11" w:rsidP="002F335A">
      <w:pPr>
        <w:keepNext/>
        <w:keepLines/>
        <w:spacing w:before="200" w:after="0" w:line="276" w:lineRule="auto"/>
        <w:outlineLvl w:val="1"/>
        <w:rPr>
          <w:rFonts w:eastAsia="Times New Roman" w:cs="Times New Roman"/>
          <w:bCs/>
          <w:sz w:val="24"/>
          <w:szCs w:val="24"/>
        </w:rPr>
      </w:pPr>
      <w:r w:rsidRPr="000B1DEC">
        <w:rPr>
          <w:rFonts w:eastAsia="Times New Roman" w:cs="Times New Roman"/>
          <w:bCs/>
          <w:sz w:val="24"/>
          <w:szCs w:val="24"/>
        </w:rPr>
        <w:lastRenderedPageBreak/>
        <w:t xml:space="preserve">The lack of adequate transportation services </w:t>
      </w:r>
      <w:r w:rsidR="00A8419E" w:rsidRPr="000B1DEC">
        <w:rPr>
          <w:rFonts w:eastAsia="Times New Roman" w:cs="Times New Roman"/>
          <w:bCs/>
          <w:sz w:val="24"/>
          <w:szCs w:val="24"/>
        </w:rPr>
        <w:t xml:space="preserve">for individuals who do not have a personal vehicle to use, </w:t>
      </w:r>
      <w:r w:rsidRPr="000B1DEC">
        <w:rPr>
          <w:rFonts w:eastAsia="Times New Roman" w:cs="Times New Roman"/>
          <w:bCs/>
          <w:sz w:val="24"/>
          <w:szCs w:val="24"/>
        </w:rPr>
        <w:t xml:space="preserve">is </w:t>
      </w:r>
      <w:r w:rsidR="000B1DEC">
        <w:rPr>
          <w:rFonts w:eastAsia="Times New Roman" w:cs="Times New Roman"/>
          <w:bCs/>
          <w:sz w:val="24"/>
          <w:szCs w:val="24"/>
        </w:rPr>
        <w:t xml:space="preserve">also </w:t>
      </w:r>
      <w:r w:rsidRPr="000B1DEC">
        <w:rPr>
          <w:rFonts w:eastAsia="Times New Roman" w:cs="Times New Roman"/>
          <w:bCs/>
          <w:sz w:val="24"/>
          <w:szCs w:val="24"/>
        </w:rPr>
        <w:t>a barrier for many people, especially in Horizon’s rural communities.</w:t>
      </w:r>
      <w:r w:rsidR="00A8419E" w:rsidRPr="000B1DEC">
        <w:rPr>
          <w:rFonts w:eastAsia="Times New Roman" w:cs="Times New Roman"/>
          <w:bCs/>
          <w:sz w:val="24"/>
          <w:szCs w:val="24"/>
        </w:rPr>
        <w:t xml:space="preserve"> The lack of adequate transportation interferes with people meeting basic </w:t>
      </w:r>
      <w:r w:rsidR="00C544C2" w:rsidRPr="000B1DEC">
        <w:rPr>
          <w:rFonts w:eastAsia="Times New Roman" w:cs="Times New Roman"/>
          <w:bCs/>
          <w:sz w:val="24"/>
          <w:szCs w:val="24"/>
        </w:rPr>
        <w:t>personal needs,</w:t>
      </w:r>
      <w:r w:rsidR="00A8419E" w:rsidRPr="000B1DEC">
        <w:rPr>
          <w:rFonts w:eastAsia="Times New Roman" w:cs="Times New Roman"/>
          <w:bCs/>
          <w:sz w:val="24"/>
          <w:szCs w:val="24"/>
        </w:rPr>
        <w:t xml:space="preserve"> as well as healthcare needs, particularly those that are non-emergency medical appointments.</w:t>
      </w:r>
      <w:r w:rsidR="000D70C6" w:rsidRPr="000B1DEC">
        <w:rPr>
          <w:rFonts w:eastAsia="Times New Roman" w:cs="Times New Roman"/>
          <w:bCs/>
          <w:sz w:val="24"/>
          <w:szCs w:val="24"/>
        </w:rPr>
        <w:t xml:space="preserve"> Two of the five counties, Douglas and Stevens, have a taxi service. </w:t>
      </w:r>
      <w:r w:rsidR="000B1DEC" w:rsidRPr="000B1DEC">
        <w:rPr>
          <w:rFonts w:eastAsia="Times New Roman" w:cs="Times New Roman"/>
          <w:bCs/>
          <w:sz w:val="24"/>
          <w:szCs w:val="24"/>
        </w:rPr>
        <w:t>Stevens County has a curb to curb transit system. Not all counties have a public transportation system. Rainbow Rider is available in all five counti</w:t>
      </w:r>
      <w:r w:rsidR="00EB2650">
        <w:rPr>
          <w:rFonts w:eastAsia="Times New Roman" w:cs="Times New Roman"/>
          <w:bCs/>
          <w:sz w:val="24"/>
          <w:szCs w:val="24"/>
        </w:rPr>
        <w:t>es for medical transportation, but t</w:t>
      </w:r>
      <w:r w:rsidR="000B1DEC" w:rsidRPr="000B1DEC">
        <w:rPr>
          <w:rFonts w:eastAsia="Times New Roman" w:cs="Times New Roman"/>
          <w:bCs/>
          <w:sz w:val="24"/>
          <w:szCs w:val="24"/>
        </w:rPr>
        <w:t xml:space="preserve">his availability is often based on volunteer </w:t>
      </w:r>
      <w:r w:rsidR="000B1DEC">
        <w:rPr>
          <w:rFonts w:eastAsia="Times New Roman" w:cs="Times New Roman"/>
          <w:bCs/>
          <w:sz w:val="24"/>
          <w:szCs w:val="24"/>
        </w:rPr>
        <w:t xml:space="preserve">drivers, which is also an </w:t>
      </w:r>
      <w:r w:rsidR="00EB2650">
        <w:rPr>
          <w:rFonts w:eastAsia="Times New Roman" w:cs="Times New Roman"/>
          <w:bCs/>
          <w:sz w:val="24"/>
          <w:szCs w:val="24"/>
        </w:rPr>
        <w:t>ongoing issue related to recruiting adequate volunteer drivers.</w:t>
      </w:r>
    </w:p>
    <w:p w:rsidR="009E19D9" w:rsidRDefault="009E19D9" w:rsidP="002F335A">
      <w:pPr>
        <w:keepNext/>
        <w:keepLines/>
        <w:spacing w:before="200" w:after="0" w:line="276" w:lineRule="auto"/>
        <w:outlineLvl w:val="1"/>
        <w:rPr>
          <w:rFonts w:ascii="Cambria" w:eastAsia="Times New Roman" w:hAnsi="Cambria" w:cs="Times New Roman"/>
          <w:b/>
          <w:bCs/>
          <w:sz w:val="32"/>
          <w:szCs w:val="26"/>
        </w:rPr>
      </w:pPr>
    </w:p>
    <w:p w:rsidR="002F335A" w:rsidRPr="00803FC4" w:rsidRDefault="00A8419E" w:rsidP="002F335A">
      <w:pPr>
        <w:keepNext/>
        <w:keepLines/>
        <w:spacing w:before="200" w:after="0" w:line="276" w:lineRule="auto"/>
        <w:outlineLvl w:val="1"/>
        <w:rPr>
          <w:rFonts w:ascii="Cambria" w:eastAsia="Times New Roman" w:hAnsi="Cambria" w:cs="Times New Roman"/>
          <w:b/>
          <w:bCs/>
          <w:sz w:val="32"/>
          <w:szCs w:val="26"/>
        </w:rPr>
      </w:pPr>
      <w:r>
        <w:rPr>
          <w:rFonts w:ascii="Cambria" w:eastAsia="Times New Roman" w:hAnsi="Cambria" w:cs="Times New Roman"/>
          <w:b/>
          <w:bCs/>
          <w:sz w:val="32"/>
          <w:szCs w:val="26"/>
        </w:rPr>
        <w:t xml:space="preserve"> </w:t>
      </w:r>
      <w:r w:rsidR="002F335A">
        <w:rPr>
          <w:rFonts w:ascii="Cambria" w:eastAsia="Times New Roman" w:hAnsi="Cambria" w:cs="Times New Roman"/>
          <w:b/>
          <w:bCs/>
          <w:sz w:val="32"/>
          <w:szCs w:val="26"/>
        </w:rPr>
        <w:t>Public Health Infrastructure</w:t>
      </w:r>
    </w:p>
    <w:p w:rsidR="002F335A" w:rsidRDefault="009928B6" w:rsidP="00067187">
      <w:pPr>
        <w:spacing w:line="276" w:lineRule="auto"/>
        <w:rPr>
          <w:sz w:val="24"/>
          <w:szCs w:val="24"/>
        </w:rPr>
      </w:pPr>
      <w:r>
        <w:rPr>
          <w:sz w:val="24"/>
          <w:szCs w:val="24"/>
        </w:rPr>
        <w:t>Public</w:t>
      </w:r>
      <w:r w:rsidR="002F335A">
        <w:rPr>
          <w:sz w:val="24"/>
          <w:szCs w:val="24"/>
        </w:rPr>
        <w:t xml:space="preserve"> health departments in Minnesota are collectively working together to promote, protect, and improve the health of the communities they serve. Public health departments</w:t>
      </w:r>
      <w:r>
        <w:rPr>
          <w:sz w:val="24"/>
          <w:szCs w:val="24"/>
        </w:rPr>
        <w:t xml:space="preserve"> and </w:t>
      </w:r>
      <w:r w:rsidR="002F335A">
        <w:rPr>
          <w:sz w:val="24"/>
          <w:szCs w:val="24"/>
        </w:rPr>
        <w:t>their</w:t>
      </w:r>
      <w:r>
        <w:rPr>
          <w:sz w:val="24"/>
          <w:szCs w:val="24"/>
        </w:rPr>
        <w:t xml:space="preserve"> respective</w:t>
      </w:r>
      <w:r w:rsidR="002F335A">
        <w:rPr>
          <w:sz w:val="24"/>
          <w:szCs w:val="24"/>
        </w:rPr>
        <w:t xml:space="preserve"> community health boards, in partnership with community partners and providers, help </w:t>
      </w:r>
      <w:r>
        <w:rPr>
          <w:sz w:val="24"/>
          <w:szCs w:val="24"/>
        </w:rPr>
        <w:t xml:space="preserve">support </w:t>
      </w:r>
      <w:r w:rsidR="002F335A">
        <w:rPr>
          <w:sz w:val="24"/>
          <w:szCs w:val="24"/>
        </w:rPr>
        <w:t xml:space="preserve">the health of the community, by providing the 10 essential public health services. These include monitoring the health status of the community; diagnosing and investigating health problems and health hazards; informing, educating, and empowering people about health issues; mobilizing community partnerships and action to identify and solve health problems; developing policies and plans which support individual and community health efforts; enforcing laws and regulations that protect the community’s health and safety; linking people to needed personal health services; assuring a competent public and personal healthcare workforce; evaluating effectiveness, accessibility, and quality of personal and population-based health services; and completing research for new insights and innovative solutions to health problems. </w:t>
      </w:r>
    </w:p>
    <w:p w:rsidR="007C12CA" w:rsidRPr="0014506A" w:rsidRDefault="002F335A" w:rsidP="00067187">
      <w:pPr>
        <w:spacing w:line="276" w:lineRule="auto"/>
        <w:rPr>
          <w:sz w:val="24"/>
          <w:szCs w:val="24"/>
        </w:rPr>
      </w:pPr>
      <w:r>
        <w:rPr>
          <w:sz w:val="24"/>
          <w:szCs w:val="24"/>
        </w:rPr>
        <w:t xml:space="preserve">The Public Health Accreditation Board (PHAB) released voluntary accreditation performance standards in 2011. This voluntary accreditation option </w:t>
      </w:r>
      <w:r w:rsidR="009928B6">
        <w:rPr>
          <w:sz w:val="24"/>
          <w:szCs w:val="24"/>
        </w:rPr>
        <w:t>is intended to assure</w:t>
      </w:r>
      <w:r>
        <w:rPr>
          <w:sz w:val="24"/>
          <w:szCs w:val="24"/>
        </w:rPr>
        <w:t xml:space="preserve"> that state, tribal, and local public health departments have the capacity to meet these 10 essential public health functions. Horizon Public Health is currently taking steps </w:t>
      </w:r>
      <w:r w:rsidR="009928B6">
        <w:rPr>
          <w:sz w:val="24"/>
          <w:szCs w:val="24"/>
        </w:rPr>
        <w:t>in preparation for seeking national public health</w:t>
      </w:r>
      <w:r>
        <w:rPr>
          <w:sz w:val="24"/>
          <w:szCs w:val="24"/>
        </w:rPr>
        <w:t xml:space="preserve"> accreditation. </w:t>
      </w:r>
      <w:r w:rsidR="009928B6">
        <w:rPr>
          <w:sz w:val="24"/>
          <w:szCs w:val="24"/>
        </w:rPr>
        <w:t xml:space="preserve">The </w:t>
      </w:r>
      <w:r>
        <w:rPr>
          <w:sz w:val="24"/>
          <w:szCs w:val="24"/>
        </w:rPr>
        <w:t xml:space="preserve">Minnesota Department of Health is </w:t>
      </w:r>
      <w:r w:rsidR="009928B6">
        <w:rPr>
          <w:sz w:val="24"/>
          <w:szCs w:val="24"/>
        </w:rPr>
        <w:t xml:space="preserve">also currently </w:t>
      </w:r>
      <w:r>
        <w:rPr>
          <w:sz w:val="24"/>
          <w:szCs w:val="24"/>
        </w:rPr>
        <w:t xml:space="preserve">accredited by PHAB. </w:t>
      </w:r>
      <w:r w:rsidR="00303E10">
        <w:rPr>
          <w:rStyle w:val="EndnoteReference"/>
          <w:sz w:val="24"/>
          <w:szCs w:val="24"/>
        </w:rPr>
        <w:endnoteReference w:id="11"/>
      </w:r>
      <w:r w:rsidR="00803FC4" w:rsidRPr="00803FC4">
        <w:rPr>
          <w:rFonts w:ascii="Calibri" w:eastAsia="Calibri" w:hAnsi="Calibri" w:cs="Times New Roman"/>
          <w:b/>
          <w:color w:val="5B9BD5" w:themeColor="accent1"/>
          <w:sz w:val="32"/>
        </w:rPr>
        <w:br w:type="page"/>
      </w:r>
    </w:p>
    <w:p w:rsidR="00803FC4" w:rsidRPr="00803FC4" w:rsidRDefault="00803FC4" w:rsidP="00803FC4">
      <w:pPr>
        <w:numPr>
          <w:ilvl w:val="0"/>
          <w:numId w:val="4"/>
        </w:numPr>
        <w:pBdr>
          <w:bottom w:val="single" w:sz="8" w:space="4" w:color="5B9BD5" w:themeColor="accent1"/>
        </w:pBdr>
        <w:spacing w:after="300" w:line="240" w:lineRule="auto"/>
        <w:contextualSpacing/>
        <w:rPr>
          <w:rFonts w:ascii="Cambria" w:eastAsia="Times New Roman" w:hAnsi="Cambria" w:cs="Times New Roman"/>
          <w:color w:val="323E4F" w:themeColor="text2" w:themeShade="BF"/>
          <w:spacing w:val="5"/>
          <w:kern w:val="28"/>
          <w:sz w:val="52"/>
          <w:szCs w:val="52"/>
        </w:rPr>
      </w:pPr>
      <w:r w:rsidRPr="00803FC4">
        <w:rPr>
          <w:rFonts w:ascii="Cambria" w:eastAsia="Times New Roman" w:hAnsi="Cambria" w:cs="Times New Roman"/>
          <w:color w:val="323E4F" w:themeColor="text2" w:themeShade="BF"/>
          <w:spacing w:val="5"/>
          <w:kern w:val="28"/>
          <w:sz w:val="52"/>
          <w:szCs w:val="52"/>
        </w:rPr>
        <w:lastRenderedPageBreak/>
        <w:t>Healthy Living in Minnesota</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The issues described in this section include what are typically considered health</w:t>
      </w:r>
      <w:r w:rsidR="00651469">
        <w:rPr>
          <w:rFonts w:ascii="Calibri" w:eastAsia="Calibri" w:hAnsi="Calibri" w:cs="Times New Roman"/>
          <w:sz w:val="24"/>
        </w:rPr>
        <w:t>y</w:t>
      </w:r>
      <w:r w:rsidRPr="00803FC4">
        <w:rPr>
          <w:rFonts w:ascii="Calibri" w:eastAsia="Calibri" w:hAnsi="Calibri" w:cs="Times New Roman"/>
          <w:sz w:val="24"/>
        </w:rPr>
        <w:t xml:space="preserve"> behaviors for an individual, such as engaging in physical activity, having healthy eating habits, and </w:t>
      </w:r>
      <w:r w:rsidR="00651469">
        <w:rPr>
          <w:rFonts w:ascii="Calibri" w:eastAsia="Calibri" w:hAnsi="Calibri" w:cs="Times New Roman"/>
          <w:sz w:val="24"/>
        </w:rPr>
        <w:t xml:space="preserve">the </w:t>
      </w:r>
      <w:r w:rsidRPr="00803FC4">
        <w:rPr>
          <w:rFonts w:ascii="Calibri" w:eastAsia="Calibri" w:hAnsi="Calibri" w:cs="Times New Roman"/>
          <w:sz w:val="24"/>
        </w:rPr>
        <w:t xml:space="preserve">appropriate use of alcohol, </w:t>
      </w:r>
      <w:r w:rsidR="00651469">
        <w:rPr>
          <w:rFonts w:ascii="Calibri" w:eastAsia="Calibri" w:hAnsi="Calibri" w:cs="Times New Roman"/>
          <w:sz w:val="24"/>
        </w:rPr>
        <w:t>tobacco and prescription drugs. It also identifies and describes</w:t>
      </w:r>
      <w:r w:rsidRPr="00803FC4">
        <w:rPr>
          <w:rFonts w:ascii="Calibri" w:eastAsia="Calibri" w:hAnsi="Calibri" w:cs="Times New Roman"/>
          <w:sz w:val="24"/>
        </w:rPr>
        <w:t xml:space="preserve"> ways in which people protect and promote health for others: assuring a healthy start for children; preventing and managing chronic conditions; preventing disease and injury; and promoting mental health.</w:t>
      </w: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A Healthy Start for Children</w:t>
      </w:r>
    </w:p>
    <w:p w:rsidR="002F1C89" w:rsidRPr="002F1C89" w:rsidRDefault="002F1C89" w:rsidP="00067187">
      <w:pPr>
        <w:spacing w:line="276" w:lineRule="auto"/>
        <w:rPr>
          <w:sz w:val="24"/>
          <w:szCs w:val="24"/>
        </w:rPr>
      </w:pPr>
      <w:r>
        <w:rPr>
          <w:sz w:val="24"/>
          <w:szCs w:val="24"/>
        </w:rPr>
        <w:t>The access and utilization of prenatal care helps in ensuring a healthy pregnancy by preventing premature births and low birth rates, both of which can contribute to infant mortality and high costs of care. The concept of prenatal care encompasses several measures including discussing a mother’s healthy choices and body changes; prenatal testing and counseling; treating potential medical complications such as gestational hypertension, diabetes and anemia; promoting optimal weight gain; testing for sexually transmitted infections; oral health assessment and treatment; and maternal mental health and substance abuse screening.</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 xml:space="preserve">Below is a chart that shows the percentage of mothers receiving prenatal care in the first trimester averaged over </w:t>
      </w:r>
      <w:r w:rsidR="00463ECC">
        <w:rPr>
          <w:rFonts w:ascii="Calibri" w:eastAsia="Calibri" w:hAnsi="Calibri" w:cs="Times New Roman"/>
          <w:sz w:val="24"/>
        </w:rPr>
        <w:t>a five year period</w:t>
      </w:r>
      <w:r w:rsidRPr="00803FC4">
        <w:rPr>
          <w:rFonts w:ascii="Calibri" w:eastAsia="Calibri" w:hAnsi="Calibri" w:cs="Times New Roman"/>
          <w:sz w:val="24"/>
        </w:rPr>
        <w:t xml:space="preserve">. Overall, the percentages have been increasing, except for </w:t>
      </w:r>
      <w:r w:rsidR="00884658">
        <w:rPr>
          <w:rFonts w:ascii="Calibri" w:eastAsia="Calibri" w:hAnsi="Calibri" w:cs="Times New Roman"/>
          <w:sz w:val="24"/>
        </w:rPr>
        <w:t>Grant</w:t>
      </w:r>
      <w:r w:rsidRPr="00803FC4">
        <w:rPr>
          <w:rFonts w:ascii="Calibri" w:eastAsia="Calibri" w:hAnsi="Calibri" w:cs="Times New Roman"/>
          <w:sz w:val="24"/>
        </w:rPr>
        <w:t xml:space="preserve"> County</w:t>
      </w:r>
      <w:r w:rsidR="00884658">
        <w:rPr>
          <w:rFonts w:ascii="Calibri" w:eastAsia="Calibri" w:hAnsi="Calibri" w:cs="Times New Roman"/>
          <w:sz w:val="24"/>
        </w:rPr>
        <w:t>,</w:t>
      </w:r>
      <w:r w:rsidRPr="00803FC4">
        <w:rPr>
          <w:rFonts w:ascii="Calibri" w:eastAsia="Calibri" w:hAnsi="Calibri" w:cs="Times New Roman"/>
          <w:sz w:val="24"/>
        </w:rPr>
        <w:t xml:space="preserve"> which has been decreasing throughout the years.  </w:t>
      </w:r>
    </w:p>
    <w:p w:rsidR="00803FC4" w:rsidRPr="00884658" w:rsidRDefault="00803FC4" w:rsidP="00803FC4">
      <w:pPr>
        <w:spacing w:after="200" w:line="276" w:lineRule="auto"/>
        <w:rPr>
          <w:rFonts w:ascii="Calibri" w:eastAsia="Calibri" w:hAnsi="Calibri" w:cs="Times New Roman"/>
          <w:b/>
          <w:i/>
          <w:sz w:val="24"/>
        </w:rPr>
      </w:pPr>
      <w:r w:rsidRPr="00463ECC">
        <w:rPr>
          <w:rFonts w:ascii="Calibri" w:eastAsia="Calibri" w:hAnsi="Calibri" w:cs="Times New Roman"/>
          <w:b/>
          <w:i/>
          <w:sz w:val="24"/>
        </w:rPr>
        <w:t>Percent of mothers receiving prenatal care in the 1</w:t>
      </w:r>
      <w:r w:rsidRPr="00463ECC">
        <w:rPr>
          <w:rFonts w:ascii="Calibri" w:eastAsia="Calibri" w:hAnsi="Calibri" w:cs="Times New Roman"/>
          <w:b/>
          <w:i/>
          <w:sz w:val="24"/>
          <w:vertAlign w:val="superscript"/>
        </w:rPr>
        <w:t>st</w:t>
      </w:r>
      <w:r w:rsidR="00884658">
        <w:rPr>
          <w:rFonts w:ascii="Calibri" w:eastAsia="Calibri" w:hAnsi="Calibri" w:cs="Times New Roman"/>
          <w:b/>
          <w:i/>
          <w:sz w:val="24"/>
        </w:rPr>
        <w:t xml:space="preserve"> trimester</w:t>
      </w:r>
    </w:p>
    <w:p w:rsidR="00884658" w:rsidRPr="00803FC4" w:rsidRDefault="00884658" w:rsidP="00803FC4">
      <w:pPr>
        <w:spacing w:after="200" w:line="276" w:lineRule="auto"/>
        <w:rPr>
          <w:rFonts w:ascii="Calibri" w:eastAsia="Calibri" w:hAnsi="Calibri" w:cs="Times New Roman"/>
          <w:sz w:val="24"/>
        </w:rPr>
      </w:pPr>
      <w:r>
        <w:rPr>
          <w:rFonts w:ascii="Calibri" w:eastAsia="Calibri" w:hAnsi="Calibri" w:cs="Times New Roman"/>
          <w:noProof/>
          <w:sz w:val="24"/>
        </w:rPr>
        <w:drawing>
          <wp:inline distT="0" distB="0" distL="0" distR="0" wp14:anchorId="7EF45B08" wp14:editId="7F552C13">
            <wp:extent cx="6400800" cy="254317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84658" w:rsidRDefault="00884658" w:rsidP="00884658">
      <w:pPr>
        <w:spacing w:after="200" w:line="276" w:lineRule="auto"/>
        <w:rPr>
          <w:rFonts w:ascii="Calibri" w:eastAsia="Calibri" w:hAnsi="Calibri" w:cs="Times New Roman"/>
          <w:i/>
        </w:rPr>
      </w:pPr>
      <w:r w:rsidRPr="00803FC4">
        <w:rPr>
          <w:rFonts w:ascii="Calibri" w:eastAsia="Calibri" w:hAnsi="Calibri" w:cs="Times New Roman"/>
          <w:i/>
        </w:rPr>
        <w:t>Source: Minnesota Department of Health, Center for Health Statistics</w:t>
      </w:r>
    </w:p>
    <w:p w:rsidR="00F0388B" w:rsidRDefault="00F0388B" w:rsidP="00803FC4">
      <w:pPr>
        <w:spacing w:after="200" w:line="240" w:lineRule="auto"/>
        <w:rPr>
          <w:rFonts w:ascii="Calibri" w:eastAsia="Calibri" w:hAnsi="Calibri" w:cs="Times New Roman"/>
          <w:sz w:val="24"/>
        </w:rPr>
      </w:pPr>
    </w:p>
    <w:p w:rsidR="00803FC4" w:rsidRPr="00803FC4" w:rsidRDefault="00803FC4" w:rsidP="00067187">
      <w:pPr>
        <w:spacing w:after="200" w:line="276" w:lineRule="auto"/>
        <w:rPr>
          <w:rFonts w:ascii="Calibri" w:eastAsia="Calibri" w:hAnsi="Calibri" w:cs="Times New Roman"/>
          <w:sz w:val="24"/>
        </w:rPr>
      </w:pPr>
      <w:r w:rsidRPr="00803FC4">
        <w:rPr>
          <w:rFonts w:ascii="Calibri" w:eastAsia="Calibri" w:hAnsi="Calibri" w:cs="Times New Roman"/>
          <w:sz w:val="24"/>
        </w:rPr>
        <w:lastRenderedPageBreak/>
        <w:t>Smoking during pregnancy is the single most preventable cause of maternal and infant illness and death.  Smoking during pregnancy increases the risk of stillbirth, low birth weight, sudden infant death syndrome (SIDS), preterm birth, cognitive and behavioral problems, and respiratory problems in both mother and child.  Children exposed to tobacco in utero are more than twice as likely to become regular smokers themselves later in life, compared with children not exposed to tobacco in utero. The chart on the following page shows the percentage of mothers who smoked during pregnancy throug</w:t>
      </w:r>
      <w:r w:rsidR="00C728FC">
        <w:rPr>
          <w:rFonts w:ascii="Calibri" w:eastAsia="Calibri" w:hAnsi="Calibri" w:cs="Times New Roman"/>
          <w:sz w:val="24"/>
        </w:rPr>
        <w:t>h the years 1994 to 2013</w:t>
      </w:r>
      <w:r w:rsidRPr="00803FC4">
        <w:rPr>
          <w:rFonts w:ascii="Calibri" w:eastAsia="Calibri" w:hAnsi="Calibri" w:cs="Times New Roman"/>
          <w:sz w:val="24"/>
        </w:rPr>
        <w:t>.  Overall, the trend shows decreasing percentages of mothers who smoked while pregnant</w:t>
      </w:r>
      <w:r w:rsidR="00C728FC">
        <w:rPr>
          <w:rFonts w:ascii="Calibri" w:eastAsia="Calibri" w:hAnsi="Calibri" w:cs="Times New Roman"/>
          <w:sz w:val="24"/>
        </w:rPr>
        <w:t xml:space="preserve"> in Douglas, Grant, and Pope County</w:t>
      </w:r>
      <w:r w:rsidR="0016639F">
        <w:rPr>
          <w:rFonts w:ascii="Calibri" w:eastAsia="Calibri" w:hAnsi="Calibri" w:cs="Times New Roman"/>
          <w:sz w:val="24"/>
        </w:rPr>
        <w:t>, while</w:t>
      </w:r>
      <w:r w:rsidRPr="00803FC4">
        <w:rPr>
          <w:rFonts w:ascii="Calibri" w:eastAsia="Calibri" w:hAnsi="Calibri" w:cs="Times New Roman"/>
          <w:sz w:val="24"/>
        </w:rPr>
        <w:t xml:space="preserve"> </w:t>
      </w:r>
      <w:r w:rsidR="00C728FC">
        <w:rPr>
          <w:rFonts w:ascii="Calibri" w:eastAsia="Calibri" w:hAnsi="Calibri" w:cs="Times New Roman"/>
          <w:sz w:val="24"/>
        </w:rPr>
        <w:t xml:space="preserve">Traverse and Stevens Counties </w:t>
      </w:r>
      <w:r w:rsidR="0016639F">
        <w:rPr>
          <w:rFonts w:ascii="Calibri" w:eastAsia="Calibri" w:hAnsi="Calibri" w:cs="Times New Roman"/>
          <w:sz w:val="24"/>
        </w:rPr>
        <w:t>show slightly increasing</w:t>
      </w:r>
      <w:r w:rsidR="00C728FC">
        <w:rPr>
          <w:rFonts w:ascii="Calibri" w:eastAsia="Calibri" w:hAnsi="Calibri" w:cs="Times New Roman"/>
          <w:sz w:val="24"/>
        </w:rPr>
        <w:t xml:space="preserve"> rates. </w:t>
      </w:r>
    </w:p>
    <w:p w:rsidR="00803FC4" w:rsidRPr="00720A3E" w:rsidRDefault="00803FC4" w:rsidP="00720A3E">
      <w:pPr>
        <w:spacing w:after="200" w:line="276" w:lineRule="auto"/>
        <w:rPr>
          <w:rFonts w:ascii="Calibri" w:eastAsia="Calibri" w:hAnsi="Calibri" w:cs="Times New Roman"/>
          <w:b/>
          <w:sz w:val="24"/>
        </w:rPr>
      </w:pPr>
      <w:r w:rsidRPr="0014506A">
        <w:rPr>
          <w:rFonts w:ascii="Calibri" w:eastAsia="Calibri" w:hAnsi="Calibri" w:cs="Times New Roman"/>
          <w:b/>
          <w:i/>
          <w:sz w:val="24"/>
        </w:rPr>
        <w:t>Percent of mothers who smoked during pregnancy</w:t>
      </w:r>
    </w:p>
    <w:p w:rsidR="00C728FC" w:rsidRPr="00803FC4" w:rsidRDefault="00C728FC" w:rsidP="00803FC4">
      <w:pPr>
        <w:spacing w:after="200" w:line="240" w:lineRule="auto"/>
        <w:rPr>
          <w:rFonts w:ascii="Calibri" w:eastAsia="Calibri" w:hAnsi="Calibri" w:cs="Times New Roman"/>
          <w:b/>
          <w:sz w:val="24"/>
        </w:rPr>
      </w:pPr>
      <w:r>
        <w:rPr>
          <w:rFonts w:ascii="Calibri" w:eastAsia="Calibri" w:hAnsi="Calibri" w:cs="Times New Roman"/>
          <w:b/>
          <w:noProof/>
          <w:sz w:val="24"/>
        </w:rPr>
        <w:drawing>
          <wp:inline distT="0" distB="0" distL="0" distR="0" wp14:anchorId="0188E3F2" wp14:editId="7B9D64F2">
            <wp:extent cx="6553200" cy="265747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3FC4" w:rsidRPr="00803FC4" w:rsidRDefault="00803FC4" w:rsidP="00803FC4">
      <w:pPr>
        <w:spacing w:after="200" w:line="240" w:lineRule="auto"/>
        <w:rPr>
          <w:rFonts w:ascii="Calibri" w:eastAsia="Calibri" w:hAnsi="Calibri" w:cs="Times New Roman"/>
          <w:b/>
          <w:sz w:val="24"/>
        </w:rPr>
      </w:pPr>
      <w:r w:rsidRPr="00803FC4">
        <w:rPr>
          <w:rFonts w:ascii="Calibri" w:eastAsia="Calibri" w:hAnsi="Calibri" w:cs="Times New Roman"/>
          <w:i/>
        </w:rPr>
        <w:t xml:space="preserve"> Source: Minnesota Department of Health, Center for Health Statistics</w:t>
      </w:r>
      <w:r w:rsidRPr="00803FC4">
        <w:rPr>
          <w:rFonts w:ascii="Calibri" w:eastAsia="Calibri" w:hAnsi="Calibri" w:cs="Times New Roman"/>
          <w:b/>
          <w:sz w:val="24"/>
        </w:rPr>
        <w:t xml:space="preserve"> </w:t>
      </w:r>
    </w:p>
    <w:p w:rsidR="00803FC4" w:rsidRPr="00803FC4" w:rsidRDefault="00803FC4" w:rsidP="00803FC4">
      <w:pPr>
        <w:spacing w:after="200" w:line="240" w:lineRule="auto"/>
        <w:rPr>
          <w:rFonts w:ascii="Calibri" w:eastAsia="Calibri" w:hAnsi="Calibri" w:cs="Times New Roman"/>
        </w:rPr>
      </w:pPr>
    </w:p>
    <w:p w:rsidR="00803FC4" w:rsidRPr="00803FC4" w:rsidRDefault="00803FC4" w:rsidP="00067187">
      <w:pPr>
        <w:spacing w:after="200" w:line="276" w:lineRule="auto"/>
        <w:rPr>
          <w:rFonts w:ascii="Calibri" w:eastAsia="Calibri" w:hAnsi="Calibri" w:cs="Times New Roman"/>
          <w:sz w:val="24"/>
        </w:rPr>
      </w:pPr>
      <w:r w:rsidRPr="00803FC4">
        <w:rPr>
          <w:rFonts w:ascii="Calibri" w:eastAsia="Calibri" w:hAnsi="Calibri" w:cs="Times New Roman"/>
          <w:sz w:val="24"/>
        </w:rPr>
        <w:t xml:space="preserve">Drinking alcohol while pregnant can lead to a number of complications such as miscarriage, still birth, and a range of lifelong disorders for the child, known more specifically as fetal alcohol spectrum disorders (FASDs).  Children with FASDs can have a number of problems, including poor coordination, hyperactive behavior, difficulty paying attention, poor memory, difficulty in school, learning disabilities, speech and language delays, poor reasoning and judgment skills, vision or hearing problems and problems with the heart, kidney or bones.  </w:t>
      </w:r>
    </w:p>
    <w:p w:rsidR="00803FC4" w:rsidRPr="00803FC4" w:rsidRDefault="00803FC4" w:rsidP="00067187">
      <w:pPr>
        <w:spacing w:after="200" w:line="276" w:lineRule="auto"/>
        <w:rPr>
          <w:rFonts w:ascii="Calibri" w:eastAsia="Calibri" w:hAnsi="Calibri" w:cs="Times New Roman"/>
          <w:sz w:val="24"/>
        </w:rPr>
      </w:pPr>
      <w:r w:rsidRPr="00803FC4">
        <w:rPr>
          <w:rFonts w:ascii="Calibri" w:eastAsia="Calibri" w:hAnsi="Calibri" w:cs="Times New Roman"/>
          <w:sz w:val="24"/>
        </w:rPr>
        <w:t>There was no data that could be collected at the county level as far as mothers who drank alcohol while pregnant.  However, it is an important health factor that should be recognized.</w:t>
      </w:r>
    </w:p>
    <w:p w:rsidR="00803FC4" w:rsidRPr="00803FC4" w:rsidRDefault="00803FC4" w:rsidP="00803FC4">
      <w:pPr>
        <w:spacing w:after="200" w:line="276" w:lineRule="auto"/>
        <w:rPr>
          <w:rFonts w:ascii="Calibri" w:eastAsia="Calibri" w:hAnsi="Calibri" w:cs="Times New Roman"/>
        </w:rPr>
      </w:pPr>
      <w:r w:rsidRPr="00803FC4">
        <w:rPr>
          <w:rFonts w:ascii="Calibri" w:eastAsia="Calibri" w:hAnsi="Calibri" w:cs="Times New Roman"/>
        </w:rPr>
        <w:br w:type="page"/>
      </w:r>
    </w:p>
    <w:p w:rsidR="00803FC4" w:rsidRDefault="00A531C3" w:rsidP="00067187">
      <w:pPr>
        <w:spacing w:after="0" w:line="276" w:lineRule="auto"/>
        <w:rPr>
          <w:rFonts w:ascii="Calibri" w:eastAsia="Times New Roman" w:hAnsi="Calibri" w:cs="Times New Roman"/>
          <w:sz w:val="24"/>
        </w:rPr>
      </w:pPr>
      <w:r>
        <w:rPr>
          <w:rFonts w:ascii="Calibri" w:eastAsia="Times New Roman" w:hAnsi="Calibri" w:cs="Times New Roman"/>
          <w:sz w:val="24"/>
        </w:rPr>
        <w:lastRenderedPageBreak/>
        <w:t xml:space="preserve">Premature births can occur as a result of many different factors. However, premature birth factors may increase for women who are pregnancy with more than one child, have poor nutrition, have certain health conditions such as high blood pressure and diabetes, as well as if they have had physical injury or trauma. </w:t>
      </w:r>
      <w:r w:rsidR="006500AF">
        <w:rPr>
          <w:rFonts w:ascii="Calibri" w:eastAsia="Times New Roman" w:hAnsi="Calibri" w:cs="Times New Roman"/>
          <w:sz w:val="24"/>
        </w:rPr>
        <w:t xml:space="preserve">Premature births </w:t>
      </w:r>
      <w:r w:rsidR="00C9688F">
        <w:rPr>
          <w:rFonts w:ascii="Calibri" w:eastAsia="Times New Roman" w:hAnsi="Calibri" w:cs="Times New Roman"/>
          <w:sz w:val="24"/>
        </w:rPr>
        <w:t xml:space="preserve">are births that occur prior to 37 weeks </w:t>
      </w:r>
      <w:r w:rsidR="007A1DE1">
        <w:rPr>
          <w:rFonts w:ascii="Calibri" w:eastAsia="Times New Roman" w:hAnsi="Calibri" w:cs="Times New Roman"/>
          <w:sz w:val="24"/>
        </w:rPr>
        <w:t>of pregnancy,</w:t>
      </w:r>
      <w:r w:rsidR="007D5216">
        <w:rPr>
          <w:rFonts w:ascii="Calibri" w:eastAsia="Times New Roman" w:hAnsi="Calibri" w:cs="Times New Roman"/>
          <w:sz w:val="24"/>
        </w:rPr>
        <w:t xml:space="preserve"> with the normal duration of pregnancy</w:t>
      </w:r>
      <w:r w:rsidR="00C9688F">
        <w:rPr>
          <w:rFonts w:ascii="Calibri" w:eastAsia="Times New Roman" w:hAnsi="Calibri" w:cs="Times New Roman"/>
          <w:sz w:val="24"/>
        </w:rPr>
        <w:t xml:space="preserve"> being between 37 and 40 weeks. The results of premature births can lead to </w:t>
      </w:r>
      <w:r w:rsidR="006500AF">
        <w:rPr>
          <w:rFonts w:ascii="Calibri" w:eastAsia="Times New Roman" w:hAnsi="Calibri" w:cs="Times New Roman"/>
          <w:sz w:val="24"/>
        </w:rPr>
        <w:t xml:space="preserve">both short and long-term health </w:t>
      </w:r>
      <w:r w:rsidR="00C9688F">
        <w:rPr>
          <w:rFonts w:ascii="Calibri" w:eastAsia="Times New Roman" w:hAnsi="Calibri" w:cs="Times New Roman"/>
          <w:sz w:val="24"/>
        </w:rPr>
        <w:t>issues</w:t>
      </w:r>
      <w:r w:rsidR="006500AF">
        <w:rPr>
          <w:rFonts w:ascii="Calibri" w:eastAsia="Times New Roman" w:hAnsi="Calibri" w:cs="Times New Roman"/>
          <w:sz w:val="24"/>
        </w:rPr>
        <w:t xml:space="preserve">.  </w:t>
      </w:r>
      <w:r w:rsidR="00C9688F">
        <w:rPr>
          <w:rFonts w:ascii="Calibri" w:eastAsia="Times New Roman" w:hAnsi="Calibri" w:cs="Times New Roman"/>
          <w:sz w:val="24"/>
        </w:rPr>
        <w:t>These conditions can cause</w:t>
      </w:r>
      <w:r w:rsidR="006500AF">
        <w:rPr>
          <w:rFonts w:ascii="Calibri" w:eastAsia="Times New Roman" w:hAnsi="Calibri" w:cs="Times New Roman"/>
          <w:sz w:val="24"/>
        </w:rPr>
        <w:t xml:space="preserve"> chronic health conditions, as well as </w:t>
      </w:r>
      <w:r w:rsidR="00C9688F">
        <w:rPr>
          <w:rFonts w:ascii="Calibri" w:eastAsia="Times New Roman" w:hAnsi="Calibri" w:cs="Times New Roman"/>
          <w:sz w:val="24"/>
        </w:rPr>
        <w:t xml:space="preserve">an </w:t>
      </w:r>
      <w:r w:rsidR="006500AF">
        <w:rPr>
          <w:rFonts w:ascii="Calibri" w:eastAsia="Times New Roman" w:hAnsi="Calibri" w:cs="Times New Roman"/>
          <w:sz w:val="24"/>
        </w:rPr>
        <w:t>increased likelihood for behavioral and psychological problems.</w:t>
      </w:r>
      <w:r w:rsidR="00303E10">
        <w:rPr>
          <w:rStyle w:val="EndnoteReference"/>
          <w:rFonts w:ascii="Calibri" w:eastAsia="Times New Roman" w:hAnsi="Calibri" w:cs="Times New Roman"/>
          <w:sz w:val="24"/>
        </w:rPr>
        <w:endnoteReference w:id="12"/>
      </w:r>
    </w:p>
    <w:p w:rsidR="00303E10" w:rsidRDefault="00303E10" w:rsidP="00803FC4">
      <w:pPr>
        <w:spacing w:after="0" w:line="240" w:lineRule="auto"/>
        <w:rPr>
          <w:rFonts w:ascii="Calibri" w:eastAsia="Times New Roman" w:hAnsi="Calibri" w:cs="Times New Roman"/>
          <w:sz w:val="24"/>
        </w:rPr>
      </w:pPr>
    </w:p>
    <w:p w:rsidR="00803FC4" w:rsidRDefault="006500AF" w:rsidP="00067187">
      <w:pPr>
        <w:spacing w:after="0" w:line="276" w:lineRule="auto"/>
        <w:rPr>
          <w:rFonts w:ascii="Calibri" w:eastAsia="Times New Roman" w:hAnsi="Calibri" w:cs="Times New Roman"/>
          <w:sz w:val="24"/>
        </w:rPr>
      </w:pPr>
      <w:r>
        <w:rPr>
          <w:rFonts w:ascii="Calibri" w:eastAsia="Times New Roman" w:hAnsi="Calibri" w:cs="Times New Roman"/>
          <w:sz w:val="24"/>
        </w:rPr>
        <w:t xml:space="preserve">The graph below indicates the </w:t>
      </w:r>
      <w:r w:rsidR="00C9688F">
        <w:rPr>
          <w:rFonts w:ascii="Calibri" w:eastAsia="Times New Roman" w:hAnsi="Calibri" w:cs="Times New Roman"/>
          <w:sz w:val="24"/>
        </w:rPr>
        <w:t xml:space="preserve">percentage of premature births in Minnesota and by county. As the graph indicates, the overall trend is showing a progressive increase. In comparison to the Minnesota average, however, all five of the counties are below this percentage from 2009-2013. Pope county has the highest percentage of premature births at 9.2% and Grant County has the lowest number of premature births from 2009-2013. </w:t>
      </w:r>
    </w:p>
    <w:p w:rsidR="0097263D" w:rsidRDefault="0097263D" w:rsidP="00803FC4">
      <w:pPr>
        <w:spacing w:after="0" w:line="240" w:lineRule="auto"/>
        <w:rPr>
          <w:rFonts w:ascii="Calibri" w:eastAsia="Times New Roman" w:hAnsi="Calibri" w:cs="Times New Roman"/>
          <w:sz w:val="24"/>
        </w:rPr>
      </w:pPr>
    </w:p>
    <w:p w:rsidR="00C9688F" w:rsidRPr="0097263D" w:rsidRDefault="0097263D" w:rsidP="00803FC4">
      <w:pPr>
        <w:spacing w:after="0" w:line="240" w:lineRule="auto"/>
        <w:rPr>
          <w:rFonts w:ascii="Calibri" w:eastAsia="Times New Roman" w:hAnsi="Calibri" w:cs="Times New Roman"/>
          <w:b/>
          <w:i/>
          <w:sz w:val="24"/>
        </w:rPr>
      </w:pPr>
      <w:r w:rsidRPr="0097263D">
        <w:rPr>
          <w:rFonts w:ascii="Calibri" w:eastAsia="Times New Roman" w:hAnsi="Calibri" w:cs="Times New Roman"/>
          <w:b/>
          <w:i/>
          <w:sz w:val="24"/>
        </w:rPr>
        <w:t>Percentage of premature births in Minnesota and by County</w:t>
      </w:r>
    </w:p>
    <w:p w:rsidR="00FC7A14" w:rsidRDefault="00C9688F" w:rsidP="00FC7A14">
      <w:pPr>
        <w:spacing w:after="0" w:line="240" w:lineRule="auto"/>
        <w:rPr>
          <w:rFonts w:ascii="Calibri" w:eastAsia="Times New Roman" w:hAnsi="Calibri" w:cs="Times New Roman"/>
          <w:sz w:val="24"/>
        </w:rPr>
      </w:pPr>
      <w:r>
        <w:rPr>
          <w:rFonts w:ascii="Calibri" w:eastAsia="Times New Roman" w:hAnsi="Calibri" w:cs="Times New Roman"/>
          <w:noProof/>
          <w:sz w:val="24"/>
        </w:rPr>
        <w:drawing>
          <wp:inline distT="0" distB="0" distL="0" distR="0" wp14:anchorId="6036944B" wp14:editId="28E3FAB5">
            <wp:extent cx="6391275" cy="30289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7187" w:rsidRDefault="00FC7A14" w:rsidP="00067187">
      <w:pPr>
        <w:spacing w:after="0" w:line="240" w:lineRule="auto"/>
        <w:rPr>
          <w:rFonts w:eastAsia="Times New Roman" w:cs="Times New Roman"/>
          <w:i/>
          <w:sz w:val="24"/>
        </w:rPr>
      </w:pPr>
      <w:r w:rsidRPr="00067187">
        <w:rPr>
          <w:rFonts w:eastAsia="Times New Roman" w:cs="Times New Roman"/>
          <w:bCs/>
          <w:i/>
          <w:sz w:val="20"/>
          <w:szCs w:val="20"/>
        </w:rPr>
        <w:t>Source: Minnesota Center for Health Statistics, 2015</w:t>
      </w:r>
    </w:p>
    <w:p w:rsidR="00067187" w:rsidRDefault="00067187" w:rsidP="00067187">
      <w:pPr>
        <w:spacing w:after="0" w:line="240" w:lineRule="auto"/>
        <w:rPr>
          <w:rFonts w:eastAsia="Times New Roman" w:cs="Times New Roman"/>
          <w:i/>
          <w:sz w:val="24"/>
        </w:rPr>
      </w:pPr>
    </w:p>
    <w:p w:rsidR="00067187" w:rsidRDefault="00067187" w:rsidP="00067187">
      <w:pPr>
        <w:spacing w:after="0" w:line="240" w:lineRule="auto"/>
        <w:rPr>
          <w:rFonts w:eastAsia="Times New Roman" w:cs="Times New Roman"/>
          <w:i/>
          <w:sz w:val="24"/>
        </w:rPr>
      </w:pPr>
    </w:p>
    <w:p w:rsidR="00E46C6B" w:rsidRPr="00067187" w:rsidRDefault="00E46C6B" w:rsidP="00067187">
      <w:pPr>
        <w:spacing w:after="0" w:line="276" w:lineRule="auto"/>
        <w:rPr>
          <w:rFonts w:eastAsia="Times New Roman" w:cs="Times New Roman"/>
          <w:i/>
          <w:sz w:val="24"/>
        </w:rPr>
      </w:pPr>
      <w:r w:rsidRPr="0014506A">
        <w:rPr>
          <w:rFonts w:eastAsia="Times New Roman" w:cs="Times New Roman"/>
          <w:bCs/>
          <w:sz w:val="24"/>
          <w:szCs w:val="24"/>
        </w:rPr>
        <w:t>Children who are born to unmarried mothers are more likely to grow up in a single-parent household, experience instable living arrangements, live in poverty, as well as</w:t>
      </w:r>
      <w:r w:rsidR="00303E10" w:rsidRPr="0014506A">
        <w:rPr>
          <w:rFonts w:eastAsia="Times New Roman" w:cs="Times New Roman"/>
          <w:bCs/>
          <w:sz w:val="24"/>
          <w:szCs w:val="24"/>
        </w:rPr>
        <w:t xml:space="preserve"> have socio-emotional problems.</w:t>
      </w:r>
      <w:r w:rsidR="00303E10" w:rsidRPr="0014506A">
        <w:rPr>
          <w:rStyle w:val="EndnoteReference"/>
          <w:rFonts w:eastAsia="Times New Roman" w:cs="Times New Roman"/>
          <w:bCs/>
          <w:sz w:val="24"/>
          <w:szCs w:val="24"/>
        </w:rPr>
        <w:endnoteReference w:id="13"/>
      </w:r>
    </w:p>
    <w:p w:rsidR="00E46C6B" w:rsidRPr="0014506A" w:rsidRDefault="00F30E0B" w:rsidP="00803FC4">
      <w:pPr>
        <w:keepNext/>
        <w:keepLines/>
        <w:spacing w:before="200" w:after="0" w:line="276" w:lineRule="auto"/>
        <w:outlineLvl w:val="1"/>
        <w:rPr>
          <w:rFonts w:eastAsia="Times New Roman" w:cs="Times New Roman"/>
          <w:bCs/>
          <w:sz w:val="24"/>
          <w:szCs w:val="24"/>
        </w:rPr>
      </w:pPr>
      <w:r w:rsidRPr="0014506A">
        <w:rPr>
          <w:rFonts w:eastAsia="Times New Roman" w:cs="Times New Roman"/>
          <w:bCs/>
          <w:sz w:val="24"/>
          <w:szCs w:val="24"/>
        </w:rPr>
        <w:lastRenderedPageBreak/>
        <w:t xml:space="preserve">As evidenced by the graph below, in 5 year increments, it identifies that the number of births to unmarried women has been growing.  Traverse County has the highest percentage of births to unmarried women at 34.3% and Stevens County has the lowest percentage at 22.2% during the 2009-2013 time </w:t>
      </w:r>
      <w:r w:rsidR="004F6A9E" w:rsidRPr="0014506A">
        <w:rPr>
          <w:rFonts w:eastAsia="Times New Roman" w:cs="Times New Roman"/>
          <w:bCs/>
          <w:sz w:val="24"/>
          <w:szCs w:val="24"/>
        </w:rPr>
        <w:t>periods</w:t>
      </w:r>
      <w:r w:rsidRPr="0014506A">
        <w:rPr>
          <w:rFonts w:eastAsia="Times New Roman" w:cs="Times New Roman"/>
          <w:bCs/>
          <w:sz w:val="24"/>
          <w:szCs w:val="24"/>
        </w:rPr>
        <w:t>.</w:t>
      </w:r>
    </w:p>
    <w:p w:rsidR="002445CA" w:rsidRPr="002445CA" w:rsidRDefault="002445CA" w:rsidP="00803FC4">
      <w:pPr>
        <w:keepNext/>
        <w:keepLines/>
        <w:spacing w:before="200" w:after="0" w:line="276" w:lineRule="auto"/>
        <w:outlineLvl w:val="1"/>
        <w:rPr>
          <w:rFonts w:ascii="Cambria" w:eastAsia="Times New Roman" w:hAnsi="Cambria" w:cs="Times New Roman"/>
          <w:b/>
          <w:bCs/>
          <w:i/>
          <w:sz w:val="24"/>
          <w:szCs w:val="24"/>
        </w:rPr>
      </w:pPr>
      <w:r w:rsidRPr="002445CA">
        <w:rPr>
          <w:rFonts w:ascii="Cambria" w:eastAsia="Times New Roman" w:hAnsi="Cambria" w:cs="Times New Roman"/>
          <w:b/>
          <w:bCs/>
          <w:i/>
          <w:sz w:val="24"/>
          <w:szCs w:val="24"/>
        </w:rPr>
        <w:t>Percentage of Births to Unmarried Women</w:t>
      </w:r>
    </w:p>
    <w:p w:rsidR="002445CA" w:rsidRPr="00E46C6B" w:rsidRDefault="002445CA" w:rsidP="00803FC4">
      <w:pPr>
        <w:keepNext/>
        <w:keepLines/>
        <w:spacing w:before="200" w:after="0" w:line="276" w:lineRule="auto"/>
        <w:outlineLvl w:val="1"/>
        <w:rPr>
          <w:rFonts w:ascii="Cambria" w:eastAsia="Times New Roman" w:hAnsi="Cambria" w:cs="Times New Roman"/>
          <w:bCs/>
          <w:sz w:val="24"/>
          <w:szCs w:val="24"/>
        </w:rPr>
      </w:pPr>
      <w:r>
        <w:rPr>
          <w:rFonts w:ascii="Cambria" w:eastAsia="Times New Roman" w:hAnsi="Cambria" w:cs="Times New Roman"/>
          <w:bCs/>
          <w:noProof/>
          <w:sz w:val="24"/>
          <w:szCs w:val="24"/>
        </w:rPr>
        <w:drawing>
          <wp:inline distT="0" distB="0" distL="0" distR="0" wp14:anchorId="4D15B617" wp14:editId="54F75D02">
            <wp:extent cx="6381750" cy="28860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6C6B" w:rsidRDefault="00704990" w:rsidP="00803FC4">
      <w:pPr>
        <w:keepNext/>
        <w:keepLines/>
        <w:spacing w:before="200" w:after="0" w:line="276" w:lineRule="auto"/>
        <w:outlineLvl w:val="1"/>
        <w:rPr>
          <w:rFonts w:eastAsia="Times New Roman" w:cs="Times New Roman"/>
          <w:bCs/>
          <w:i/>
        </w:rPr>
      </w:pPr>
      <w:r w:rsidRPr="00067187">
        <w:rPr>
          <w:rFonts w:eastAsia="Times New Roman" w:cs="Times New Roman"/>
          <w:bCs/>
          <w:i/>
        </w:rPr>
        <w:t>Source: Minnesota Center for Health Statistics, 2013</w:t>
      </w:r>
    </w:p>
    <w:p w:rsidR="00067187" w:rsidRPr="00067187" w:rsidRDefault="00067187" w:rsidP="00803FC4">
      <w:pPr>
        <w:keepNext/>
        <w:keepLines/>
        <w:spacing w:before="200" w:after="0" w:line="276" w:lineRule="auto"/>
        <w:outlineLvl w:val="1"/>
        <w:rPr>
          <w:rFonts w:eastAsia="Times New Roman" w:cs="Times New Roman"/>
          <w:bCs/>
          <w:i/>
        </w:rPr>
      </w:pPr>
    </w:p>
    <w:p w:rsidR="00D03C81" w:rsidRDefault="009B2860" w:rsidP="00803FC4">
      <w:pPr>
        <w:keepNext/>
        <w:keepLines/>
        <w:spacing w:before="200" w:after="0" w:line="276" w:lineRule="auto"/>
        <w:outlineLvl w:val="1"/>
        <w:rPr>
          <w:rFonts w:eastAsia="Times New Roman" w:cs="Times New Roman"/>
          <w:bCs/>
          <w:sz w:val="24"/>
          <w:szCs w:val="24"/>
        </w:rPr>
      </w:pPr>
      <w:r>
        <w:rPr>
          <w:rFonts w:eastAsia="Times New Roman" w:cs="Times New Roman"/>
          <w:bCs/>
          <w:sz w:val="24"/>
          <w:szCs w:val="24"/>
        </w:rPr>
        <w:t>It is known that childcare is critical to promoting livable communities, however, wi</w:t>
      </w:r>
      <w:r w:rsidR="00567B4B">
        <w:rPr>
          <w:rFonts w:eastAsia="Times New Roman" w:cs="Times New Roman"/>
          <w:bCs/>
          <w:sz w:val="24"/>
          <w:szCs w:val="24"/>
        </w:rPr>
        <w:t>thout</w:t>
      </w:r>
      <w:r>
        <w:rPr>
          <w:rFonts w:eastAsia="Times New Roman" w:cs="Times New Roman"/>
          <w:bCs/>
          <w:sz w:val="24"/>
          <w:szCs w:val="24"/>
        </w:rPr>
        <w:t xml:space="preserve"> adequate </w:t>
      </w:r>
      <w:r w:rsidR="00567B4B">
        <w:rPr>
          <w:rFonts w:eastAsia="Times New Roman" w:cs="Times New Roman"/>
          <w:bCs/>
          <w:sz w:val="24"/>
          <w:szCs w:val="24"/>
        </w:rPr>
        <w:t>and affordable</w:t>
      </w:r>
      <w:r>
        <w:rPr>
          <w:rFonts w:eastAsia="Times New Roman" w:cs="Times New Roman"/>
          <w:bCs/>
          <w:sz w:val="24"/>
          <w:szCs w:val="24"/>
        </w:rPr>
        <w:t xml:space="preserve"> childcare </w:t>
      </w:r>
      <w:r w:rsidR="00D15AEF">
        <w:rPr>
          <w:rFonts w:eastAsia="Times New Roman" w:cs="Times New Roman"/>
          <w:bCs/>
          <w:sz w:val="24"/>
          <w:szCs w:val="24"/>
        </w:rPr>
        <w:t>options,</w:t>
      </w:r>
      <w:r>
        <w:rPr>
          <w:rFonts w:eastAsia="Times New Roman" w:cs="Times New Roman"/>
          <w:bCs/>
          <w:sz w:val="24"/>
          <w:szCs w:val="24"/>
        </w:rPr>
        <w:t xml:space="preserve"> parents can face financial and social barriers. In addition to parents’ potential barriers for not having childcare, children also have</w:t>
      </w:r>
      <w:r w:rsidR="00D15AEF">
        <w:rPr>
          <w:rFonts w:eastAsia="Times New Roman" w:cs="Times New Roman"/>
          <w:bCs/>
          <w:sz w:val="24"/>
          <w:szCs w:val="24"/>
        </w:rPr>
        <w:t xml:space="preserve"> educational and developmental</w:t>
      </w:r>
      <w:r>
        <w:rPr>
          <w:rFonts w:eastAsia="Times New Roman" w:cs="Times New Roman"/>
          <w:bCs/>
          <w:sz w:val="24"/>
          <w:szCs w:val="24"/>
        </w:rPr>
        <w:t xml:space="preserve"> needs th</w:t>
      </w:r>
      <w:r w:rsidR="00D15AEF">
        <w:rPr>
          <w:rFonts w:eastAsia="Times New Roman" w:cs="Times New Roman"/>
          <w:bCs/>
          <w:sz w:val="24"/>
          <w:szCs w:val="24"/>
        </w:rPr>
        <w:t>at can be met through childcare</w:t>
      </w:r>
      <w:r>
        <w:rPr>
          <w:rFonts w:eastAsia="Times New Roman" w:cs="Times New Roman"/>
          <w:bCs/>
          <w:sz w:val="24"/>
          <w:szCs w:val="24"/>
        </w:rPr>
        <w:t>.</w:t>
      </w:r>
      <w:r w:rsidR="00D15AEF" w:rsidRPr="00D15AEF">
        <w:rPr>
          <w:rFonts w:eastAsia="Times New Roman" w:cs="Times New Roman"/>
          <w:bCs/>
          <w:sz w:val="24"/>
          <w:szCs w:val="24"/>
        </w:rPr>
        <w:t xml:space="preserve"> </w:t>
      </w:r>
      <w:r w:rsidR="00116B5E">
        <w:rPr>
          <w:rFonts w:eastAsia="Times New Roman" w:cs="Times New Roman"/>
          <w:bCs/>
          <w:sz w:val="24"/>
          <w:szCs w:val="24"/>
        </w:rPr>
        <w:t>Through key informant interviews and open forums with both family and center-based childcare providers in the Horizon community, it is noted that c</w:t>
      </w:r>
      <w:r w:rsidR="00D15AEF">
        <w:rPr>
          <w:rFonts w:eastAsia="Times New Roman" w:cs="Times New Roman"/>
          <w:bCs/>
          <w:sz w:val="24"/>
          <w:szCs w:val="24"/>
        </w:rPr>
        <w:t>hildcare gaps exist</w:t>
      </w:r>
      <w:r w:rsidR="001E66FE">
        <w:rPr>
          <w:rFonts w:eastAsia="Times New Roman" w:cs="Times New Roman"/>
          <w:bCs/>
          <w:sz w:val="24"/>
          <w:szCs w:val="24"/>
        </w:rPr>
        <w:t xml:space="preserve"> in availability</w:t>
      </w:r>
      <w:r w:rsidR="00D15AEF">
        <w:rPr>
          <w:rFonts w:eastAsia="Times New Roman" w:cs="Times New Roman"/>
          <w:bCs/>
          <w:sz w:val="24"/>
          <w:szCs w:val="24"/>
        </w:rPr>
        <w:t xml:space="preserve">, particularly for the infant and toddler age groups in the Horizon communities. </w:t>
      </w:r>
      <w:r w:rsidR="00116B5E">
        <w:rPr>
          <w:rFonts w:eastAsia="Times New Roman" w:cs="Times New Roman"/>
          <w:bCs/>
          <w:sz w:val="24"/>
          <w:szCs w:val="24"/>
        </w:rPr>
        <w:t>It is also evident that trends over the years show a decreasing number of childcare providers, part</w:t>
      </w:r>
      <w:r w:rsidR="00567B4B">
        <w:rPr>
          <w:rFonts w:eastAsia="Times New Roman" w:cs="Times New Roman"/>
          <w:bCs/>
          <w:sz w:val="24"/>
          <w:szCs w:val="24"/>
        </w:rPr>
        <w:t xml:space="preserve">icularly family-based, </w:t>
      </w:r>
      <w:r w:rsidR="00F0388B">
        <w:rPr>
          <w:rFonts w:eastAsia="Times New Roman" w:cs="Times New Roman"/>
          <w:bCs/>
          <w:sz w:val="24"/>
          <w:szCs w:val="24"/>
        </w:rPr>
        <w:t xml:space="preserve">as well as </w:t>
      </w:r>
      <w:r w:rsidR="00567B4B">
        <w:rPr>
          <w:rFonts w:eastAsia="Times New Roman" w:cs="Times New Roman"/>
          <w:bCs/>
          <w:sz w:val="24"/>
          <w:szCs w:val="24"/>
        </w:rPr>
        <w:t>an ongoing and growing need</w:t>
      </w:r>
      <w:r w:rsidR="00F0388B">
        <w:rPr>
          <w:rFonts w:eastAsia="Times New Roman" w:cs="Times New Roman"/>
          <w:bCs/>
          <w:sz w:val="24"/>
          <w:szCs w:val="24"/>
        </w:rPr>
        <w:t xml:space="preserve"> for childcare. Additional concerns for childcare include the reimbursement rates for infants, toddlers, and preschoolers, as well as reimbursement from food support</w:t>
      </w:r>
      <w:r w:rsidR="008D6FC7">
        <w:rPr>
          <w:rFonts w:eastAsia="Times New Roman" w:cs="Times New Roman"/>
          <w:bCs/>
          <w:sz w:val="24"/>
          <w:szCs w:val="24"/>
        </w:rPr>
        <w:t>.</w:t>
      </w:r>
      <w:r w:rsidR="00567B4B">
        <w:rPr>
          <w:rFonts w:eastAsia="Times New Roman" w:cs="Times New Roman"/>
          <w:bCs/>
          <w:sz w:val="24"/>
          <w:szCs w:val="24"/>
        </w:rPr>
        <w:t xml:space="preserve"> There has been additional conversation with some employers about offering employer-sponsored child care centers. These efforts have been considered based on the benefits of reducing turnover, absenteeism, and recruitment costs, ultimately improving parents’ abilities to contribute to their family income, while supporting local employers. </w:t>
      </w:r>
      <w:r w:rsidR="009745BA">
        <w:rPr>
          <w:rStyle w:val="EndnoteReference"/>
          <w:rFonts w:eastAsia="Times New Roman" w:cs="Times New Roman"/>
          <w:bCs/>
          <w:sz w:val="24"/>
          <w:szCs w:val="24"/>
        </w:rPr>
        <w:endnoteReference w:id="14"/>
      </w:r>
    </w:p>
    <w:p w:rsidR="00EB2650" w:rsidRDefault="00EB2650" w:rsidP="00803FC4">
      <w:pPr>
        <w:keepNext/>
        <w:keepLines/>
        <w:spacing w:before="200" w:after="0" w:line="276" w:lineRule="auto"/>
        <w:outlineLvl w:val="1"/>
        <w:rPr>
          <w:sz w:val="24"/>
          <w:szCs w:val="24"/>
        </w:rPr>
      </w:pPr>
      <w:r>
        <w:rPr>
          <w:sz w:val="24"/>
          <w:szCs w:val="24"/>
        </w:rPr>
        <w:lastRenderedPageBreak/>
        <w:t>One factor that has been shown to affect a young person’s mental health is the amounts and type of trauma they experience in their life. This is known as adverse childhood experiences.  These experiences</w:t>
      </w:r>
      <w:r w:rsidRPr="00AD611A">
        <w:rPr>
          <w:sz w:val="24"/>
          <w:szCs w:val="24"/>
        </w:rPr>
        <w:t xml:space="preserve"> include events such as their parents or guardians being in jail or prison, drug abuse, alcohol abuse, verbal abuse or physical abuse by someone they live with, witnessing domestic violence or experiencing sexual abuse</w:t>
      </w:r>
      <w:r>
        <w:rPr>
          <w:sz w:val="24"/>
          <w:szCs w:val="24"/>
        </w:rPr>
        <w:t>. The increased number of adverse childhood experiences, the more likely they are to have additional stress or other mental health issues.</w:t>
      </w:r>
    </w:p>
    <w:p w:rsidR="0099191C" w:rsidRPr="009B2860" w:rsidRDefault="0099191C" w:rsidP="00803FC4">
      <w:pPr>
        <w:keepNext/>
        <w:keepLines/>
        <w:spacing w:before="200" w:after="0" w:line="276" w:lineRule="auto"/>
        <w:outlineLvl w:val="1"/>
        <w:rPr>
          <w:rFonts w:eastAsia="Times New Roman" w:cs="Times New Roman"/>
          <w:bCs/>
          <w:sz w:val="24"/>
          <w:szCs w:val="24"/>
        </w:rPr>
      </w:pPr>
      <w:r>
        <w:rPr>
          <w:rFonts w:eastAsia="Times New Roman" w:cs="Times New Roman"/>
          <w:bCs/>
          <w:sz w:val="24"/>
          <w:szCs w:val="24"/>
        </w:rPr>
        <w:t xml:space="preserve">According to social services staff within the five counties, child maltreatment referrals have been rising. This is noted to be important as this makes apparent the increased awareness that the community has regarding knowledge for noticing maltreatment, as well as when and how to report. One beneficial aspect that has recently changed in statute in the past few years </w:t>
      </w:r>
      <w:r w:rsidR="008369CA">
        <w:rPr>
          <w:rFonts w:eastAsia="Times New Roman" w:cs="Times New Roman"/>
          <w:bCs/>
          <w:sz w:val="24"/>
          <w:szCs w:val="24"/>
        </w:rPr>
        <w:t>is that</w:t>
      </w:r>
      <w:r>
        <w:rPr>
          <w:rFonts w:eastAsia="Times New Roman" w:cs="Times New Roman"/>
          <w:bCs/>
          <w:sz w:val="24"/>
          <w:szCs w:val="24"/>
        </w:rPr>
        <w:t xml:space="preserve"> social services </w:t>
      </w:r>
      <w:r w:rsidR="008369CA">
        <w:rPr>
          <w:rFonts w:eastAsia="Times New Roman" w:cs="Times New Roman"/>
          <w:bCs/>
          <w:sz w:val="24"/>
          <w:szCs w:val="24"/>
        </w:rPr>
        <w:t xml:space="preserve">is required </w:t>
      </w:r>
      <w:r w:rsidR="001606B6">
        <w:rPr>
          <w:rFonts w:eastAsia="Times New Roman" w:cs="Times New Roman"/>
          <w:bCs/>
          <w:sz w:val="24"/>
          <w:szCs w:val="24"/>
        </w:rPr>
        <w:t xml:space="preserve">to cross-report to </w:t>
      </w:r>
      <w:r>
        <w:rPr>
          <w:rFonts w:eastAsia="Times New Roman" w:cs="Times New Roman"/>
          <w:bCs/>
          <w:sz w:val="24"/>
          <w:szCs w:val="24"/>
        </w:rPr>
        <w:t xml:space="preserve">law enforcement of all </w:t>
      </w:r>
      <w:r w:rsidR="001606B6">
        <w:rPr>
          <w:rFonts w:eastAsia="Times New Roman" w:cs="Times New Roman"/>
          <w:bCs/>
          <w:sz w:val="24"/>
          <w:szCs w:val="24"/>
        </w:rPr>
        <w:t xml:space="preserve">child protection cases. </w:t>
      </w: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Community Involvement</w:t>
      </w:r>
    </w:p>
    <w:p w:rsidR="00803FC4" w:rsidRPr="00803FC4" w:rsidRDefault="00803FC4" w:rsidP="00067187">
      <w:pPr>
        <w:spacing w:after="200" w:line="276" w:lineRule="auto"/>
        <w:rPr>
          <w:rFonts w:ascii="Calibri" w:eastAsia="Calibri" w:hAnsi="Calibri" w:cs="Times New Roman"/>
          <w:sz w:val="24"/>
        </w:rPr>
      </w:pPr>
      <w:r w:rsidRPr="00803FC4">
        <w:rPr>
          <w:rFonts w:ascii="Calibri" w:eastAsia="Calibri" w:hAnsi="Calibri" w:cs="Times New Roman"/>
          <w:sz w:val="24"/>
        </w:rPr>
        <w:t xml:space="preserve">Civic </w:t>
      </w:r>
      <w:r w:rsidR="006776C0">
        <w:rPr>
          <w:rFonts w:ascii="Calibri" w:eastAsia="Calibri" w:hAnsi="Calibri" w:cs="Times New Roman"/>
          <w:sz w:val="24"/>
        </w:rPr>
        <w:t xml:space="preserve">and community </w:t>
      </w:r>
      <w:r w:rsidRPr="00803FC4">
        <w:rPr>
          <w:rFonts w:ascii="Calibri" w:eastAsia="Calibri" w:hAnsi="Calibri" w:cs="Times New Roman"/>
          <w:sz w:val="24"/>
        </w:rPr>
        <w:t>engage</w:t>
      </w:r>
      <w:r w:rsidR="006776C0">
        <w:rPr>
          <w:rFonts w:ascii="Calibri" w:eastAsia="Calibri" w:hAnsi="Calibri" w:cs="Times New Roman"/>
          <w:sz w:val="24"/>
        </w:rPr>
        <w:t xml:space="preserve">ment, as well as community involvement </w:t>
      </w:r>
      <w:r w:rsidRPr="00803FC4">
        <w:rPr>
          <w:rFonts w:ascii="Calibri" w:eastAsia="Calibri" w:hAnsi="Calibri" w:cs="Times New Roman"/>
          <w:sz w:val="24"/>
        </w:rPr>
        <w:t xml:space="preserve">are </w:t>
      </w:r>
      <w:r w:rsidR="006776C0">
        <w:rPr>
          <w:rFonts w:ascii="Calibri" w:eastAsia="Calibri" w:hAnsi="Calibri" w:cs="Times New Roman"/>
          <w:sz w:val="24"/>
        </w:rPr>
        <w:t xml:space="preserve">all </w:t>
      </w:r>
      <w:r w:rsidRPr="00803FC4">
        <w:rPr>
          <w:rFonts w:ascii="Calibri" w:eastAsia="Calibri" w:hAnsi="Calibri" w:cs="Times New Roman"/>
          <w:sz w:val="24"/>
        </w:rPr>
        <w:t xml:space="preserve">important for individual, family, and community health.  </w:t>
      </w:r>
      <w:r w:rsidR="00D576C4">
        <w:rPr>
          <w:rFonts w:ascii="Calibri" w:eastAsia="Calibri" w:hAnsi="Calibri" w:cs="Times New Roman"/>
          <w:sz w:val="24"/>
        </w:rPr>
        <w:t>Additionally, r</w:t>
      </w:r>
      <w:r w:rsidRPr="00803FC4">
        <w:rPr>
          <w:rFonts w:ascii="Calibri" w:eastAsia="Calibri" w:hAnsi="Calibri" w:cs="Times New Roman"/>
          <w:sz w:val="24"/>
        </w:rPr>
        <w:t>esearch on a</w:t>
      </w:r>
      <w:r w:rsidR="00D576C4">
        <w:rPr>
          <w:rFonts w:ascii="Calibri" w:eastAsia="Calibri" w:hAnsi="Calibri" w:cs="Times New Roman"/>
          <w:sz w:val="24"/>
        </w:rPr>
        <w:t>dolescent brain development</w:t>
      </w:r>
      <w:r w:rsidRPr="00803FC4">
        <w:rPr>
          <w:rFonts w:ascii="Calibri" w:eastAsia="Calibri" w:hAnsi="Calibri" w:cs="Times New Roman"/>
          <w:sz w:val="24"/>
        </w:rPr>
        <w:t xml:space="preserve"> supports the need for youth to learn how to become part of the broader community, and to explore their unique contributions within that community.  Positive experiences in the community</w:t>
      </w:r>
      <w:r w:rsidR="00616B4B">
        <w:rPr>
          <w:rFonts w:ascii="Calibri" w:eastAsia="Calibri" w:hAnsi="Calibri" w:cs="Times New Roman"/>
          <w:sz w:val="24"/>
        </w:rPr>
        <w:t xml:space="preserve"> can help individuals have</w:t>
      </w:r>
      <w:r w:rsidRPr="00803FC4">
        <w:rPr>
          <w:rFonts w:ascii="Calibri" w:eastAsia="Calibri" w:hAnsi="Calibri" w:cs="Times New Roman"/>
          <w:sz w:val="24"/>
        </w:rPr>
        <w:t xml:space="preserve"> social learning experiences and help them develop a healthy social identity.</w:t>
      </w:r>
    </w:p>
    <w:p w:rsidR="00803FC4" w:rsidRDefault="009D48AB" w:rsidP="00067187">
      <w:pPr>
        <w:spacing w:after="0" w:line="276" w:lineRule="auto"/>
        <w:rPr>
          <w:rFonts w:ascii="Calibri" w:eastAsia="Calibri" w:hAnsi="Calibri" w:cs="Times New Roman"/>
          <w:sz w:val="24"/>
        </w:rPr>
      </w:pPr>
      <w:r>
        <w:rPr>
          <w:rFonts w:ascii="Calibri" w:eastAsia="Calibri" w:hAnsi="Calibri" w:cs="Times New Roman"/>
          <w:sz w:val="24"/>
        </w:rPr>
        <w:t xml:space="preserve">Through </w:t>
      </w:r>
      <w:r w:rsidR="006776C0">
        <w:rPr>
          <w:rFonts w:ascii="Calibri" w:eastAsia="Calibri" w:hAnsi="Calibri" w:cs="Times New Roman"/>
          <w:sz w:val="24"/>
        </w:rPr>
        <w:t xml:space="preserve">the community partnership team discussion, </w:t>
      </w:r>
      <w:r>
        <w:rPr>
          <w:rFonts w:ascii="Calibri" w:eastAsia="Calibri" w:hAnsi="Calibri" w:cs="Times New Roman"/>
          <w:sz w:val="24"/>
        </w:rPr>
        <w:t>key informant interviews</w:t>
      </w:r>
      <w:r w:rsidR="006776C0">
        <w:rPr>
          <w:rFonts w:ascii="Calibri" w:eastAsia="Calibri" w:hAnsi="Calibri" w:cs="Times New Roman"/>
          <w:sz w:val="24"/>
        </w:rPr>
        <w:t>, and open forum</w:t>
      </w:r>
      <w:r w:rsidR="00B77D0D">
        <w:rPr>
          <w:rFonts w:ascii="Calibri" w:eastAsia="Calibri" w:hAnsi="Calibri" w:cs="Times New Roman"/>
          <w:sz w:val="24"/>
        </w:rPr>
        <w:t xml:space="preserve">, </w:t>
      </w:r>
      <w:r w:rsidR="00271719">
        <w:rPr>
          <w:rFonts w:ascii="Calibri" w:eastAsia="Calibri" w:hAnsi="Calibri" w:cs="Times New Roman"/>
          <w:sz w:val="24"/>
        </w:rPr>
        <w:t>social support and social associ</w:t>
      </w:r>
      <w:r w:rsidR="00FA14EB">
        <w:rPr>
          <w:rFonts w:ascii="Calibri" w:eastAsia="Calibri" w:hAnsi="Calibri" w:cs="Times New Roman"/>
          <w:sz w:val="24"/>
        </w:rPr>
        <w:t>ations were</w:t>
      </w:r>
      <w:r w:rsidR="00616B4B">
        <w:rPr>
          <w:rFonts w:ascii="Calibri" w:eastAsia="Calibri" w:hAnsi="Calibri" w:cs="Times New Roman"/>
          <w:sz w:val="24"/>
        </w:rPr>
        <w:t xml:space="preserve"> identified as</w:t>
      </w:r>
      <w:r w:rsidR="00271719">
        <w:rPr>
          <w:rFonts w:ascii="Calibri" w:eastAsia="Calibri" w:hAnsi="Calibri" w:cs="Times New Roman"/>
          <w:sz w:val="24"/>
        </w:rPr>
        <w:t xml:space="preserve"> important for overall health</w:t>
      </w:r>
      <w:r w:rsidR="00B77D0D">
        <w:rPr>
          <w:rFonts w:ascii="Calibri" w:eastAsia="Calibri" w:hAnsi="Calibri" w:cs="Times New Roman"/>
          <w:sz w:val="24"/>
        </w:rPr>
        <w:t xml:space="preserve">. </w:t>
      </w:r>
      <w:r w:rsidR="00271719">
        <w:rPr>
          <w:rFonts w:ascii="Calibri" w:eastAsia="Calibri" w:hAnsi="Calibri" w:cs="Times New Roman"/>
          <w:sz w:val="24"/>
        </w:rPr>
        <w:t>Poor family support, decreased social interactions, as well as limited involvement in the community can be associated with increased morbidity, as well as early mortality.</w:t>
      </w:r>
      <w:r w:rsidR="00303E10">
        <w:rPr>
          <w:rStyle w:val="EndnoteReference"/>
          <w:rFonts w:ascii="Calibri" w:eastAsia="Calibri" w:hAnsi="Calibri" w:cs="Times New Roman"/>
          <w:sz w:val="24"/>
        </w:rPr>
        <w:endnoteReference w:id="15"/>
      </w:r>
    </w:p>
    <w:p w:rsidR="00803FC4" w:rsidRPr="00803FC4" w:rsidRDefault="00803FC4" w:rsidP="00067187">
      <w:pPr>
        <w:spacing w:after="0" w:line="276" w:lineRule="auto"/>
        <w:rPr>
          <w:rFonts w:ascii="Calibri" w:eastAsia="Times New Roman" w:hAnsi="Calibri" w:cs="Times New Roman"/>
          <w:b/>
          <w:sz w:val="24"/>
        </w:rPr>
      </w:pPr>
    </w:p>
    <w:p w:rsidR="00A963E7" w:rsidRDefault="00A963E7" w:rsidP="00067187">
      <w:pPr>
        <w:spacing w:after="0" w:line="276" w:lineRule="auto"/>
        <w:rPr>
          <w:rFonts w:ascii="Calibri" w:eastAsia="Times New Roman" w:hAnsi="Calibri" w:cs="Times New Roman"/>
          <w:sz w:val="24"/>
        </w:rPr>
      </w:pPr>
      <w:r>
        <w:rPr>
          <w:rFonts w:ascii="Calibri" w:eastAsia="Times New Roman" w:hAnsi="Calibri" w:cs="Times New Roman"/>
          <w:sz w:val="24"/>
        </w:rPr>
        <w:t xml:space="preserve">Community engagement is a vital aspect that promotes interactions with other community members in a meaningful way. </w:t>
      </w:r>
      <w:r w:rsidR="002D7D92">
        <w:rPr>
          <w:rFonts w:ascii="Calibri" w:eastAsia="Times New Roman" w:hAnsi="Calibri" w:cs="Times New Roman"/>
          <w:sz w:val="24"/>
        </w:rPr>
        <w:t xml:space="preserve">The University of Minnesota, Morris promotes community engagement </w:t>
      </w:r>
      <w:r w:rsidR="002901FC">
        <w:rPr>
          <w:rFonts w:ascii="Calibri" w:eastAsia="Times New Roman" w:hAnsi="Calibri" w:cs="Times New Roman"/>
          <w:sz w:val="24"/>
        </w:rPr>
        <w:t xml:space="preserve">between students and the community. Another group, known as </w:t>
      </w:r>
      <w:r>
        <w:rPr>
          <w:rFonts w:ascii="Calibri" w:eastAsia="Times New Roman" w:hAnsi="Calibri" w:cs="Times New Roman"/>
          <w:sz w:val="24"/>
        </w:rPr>
        <w:t>Conexiones</w:t>
      </w:r>
      <w:r w:rsidR="002901FC">
        <w:rPr>
          <w:rFonts w:ascii="Calibri" w:eastAsia="Times New Roman" w:hAnsi="Calibri" w:cs="Times New Roman"/>
          <w:sz w:val="24"/>
        </w:rPr>
        <w:t>,</w:t>
      </w:r>
      <w:r>
        <w:rPr>
          <w:rFonts w:ascii="Calibri" w:eastAsia="Times New Roman" w:hAnsi="Calibri" w:cs="Times New Roman"/>
          <w:sz w:val="24"/>
        </w:rPr>
        <w:t xml:space="preserve"> is a non-profit organization that was recently formulated to help meet the needs of the Latino Population in the Stevens County community. One of their goals is to work with other community partners and providers to help bring people </w:t>
      </w:r>
      <w:r w:rsidR="00893A1D">
        <w:rPr>
          <w:rFonts w:ascii="Calibri" w:eastAsia="Times New Roman" w:hAnsi="Calibri" w:cs="Times New Roman"/>
          <w:sz w:val="24"/>
        </w:rPr>
        <w:t xml:space="preserve">together and increase community engagement opportunities for individuals and their families to feel a part of the community. It was also noted that there is a need for increased physical activity opportunities, such as having places to dance, to engage </w:t>
      </w:r>
      <w:r w:rsidR="00E03DA7">
        <w:rPr>
          <w:rFonts w:ascii="Calibri" w:eastAsia="Times New Roman" w:hAnsi="Calibri" w:cs="Times New Roman"/>
          <w:sz w:val="24"/>
        </w:rPr>
        <w:t xml:space="preserve">more </w:t>
      </w:r>
      <w:r w:rsidR="00893A1D">
        <w:rPr>
          <w:rFonts w:ascii="Calibri" w:eastAsia="Times New Roman" w:hAnsi="Calibri" w:cs="Times New Roman"/>
          <w:sz w:val="24"/>
        </w:rPr>
        <w:t>families in the community.</w:t>
      </w:r>
    </w:p>
    <w:p w:rsidR="00A963E7" w:rsidRDefault="00A963E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067187" w:rsidRDefault="00067187" w:rsidP="00067187">
      <w:pPr>
        <w:spacing w:after="0" w:line="276" w:lineRule="auto"/>
        <w:rPr>
          <w:rFonts w:ascii="Calibri" w:eastAsia="Times New Roman" w:hAnsi="Calibri" w:cs="Times New Roman"/>
          <w:sz w:val="24"/>
        </w:rPr>
      </w:pPr>
    </w:p>
    <w:p w:rsidR="00803FC4" w:rsidRDefault="00616B4B" w:rsidP="00067187">
      <w:pPr>
        <w:spacing w:after="0" w:line="276" w:lineRule="auto"/>
        <w:rPr>
          <w:rFonts w:ascii="Calibri" w:eastAsia="Times New Roman" w:hAnsi="Calibri" w:cs="Times New Roman"/>
          <w:sz w:val="24"/>
        </w:rPr>
      </w:pPr>
      <w:r>
        <w:rPr>
          <w:rFonts w:ascii="Calibri" w:eastAsia="Times New Roman" w:hAnsi="Calibri" w:cs="Times New Roman"/>
          <w:sz w:val="24"/>
        </w:rPr>
        <w:t xml:space="preserve">The graph below indicates the number of associations by county (per 10,000 people). Associations can include, but are not limited to, civic organizations, bowling leagues, golf clubs, fitness centers, sports organizations, religious organizations, political, and professional organizations. </w:t>
      </w:r>
      <w:r w:rsidR="006776C0">
        <w:rPr>
          <w:rFonts w:ascii="Calibri" w:eastAsia="Times New Roman" w:hAnsi="Calibri" w:cs="Times New Roman"/>
          <w:sz w:val="24"/>
        </w:rPr>
        <w:t>These numbers have remained fairly consistent in numbers of the years, but the number of participants has changed.</w:t>
      </w:r>
    </w:p>
    <w:p w:rsidR="006776C0" w:rsidRDefault="006776C0" w:rsidP="00803FC4">
      <w:pPr>
        <w:spacing w:after="0" w:line="240" w:lineRule="auto"/>
        <w:rPr>
          <w:rFonts w:ascii="Calibri" w:eastAsia="Times New Roman" w:hAnsi="Calibri" w:cs="Times New Roman"/>
          <w:sz w:val="24"/>
        </w:rPr>
      </w:pPr>
    </w:p>
    <w:p w:rsidR="00616B4B" w:rsidRDefault="00616B4B" w:rsidP="00803FC4">
      <w:pPr>
        <w:spacing w:after="0" w:line="240" w:lineRule="auto"/>
        <w:rPr>
          <w:rFonts w:ascii="Calibri" w:eastAsia="Times New Roman" w:hAnsi="Calibri" w:cs="Times New Roman"/>
          <w:sz w:val="24"/>
        </w:rPr>
      </w:pPr>
    </w:p>
    <w:p w:rsidR="00616B4B" w:rsidRPr="00616B4B" w:rsidRDefault="00616B4B" w:rsidP="00803FC4">
      <w:pPr>
        <w:spacing w:after="0" w:line="240" w:lineRule="auto"/>
        <w:rPr>
          <w:rFonts w:ascii="Calibri" w:eastAsia="Times New Roman" w:hAnsi="Calibri" w:cs="Times New Roman"/>
          <w:b/>
          <w:i/>
          <w:sz w:val="24"/>
        </w:rPr>
      </w:pPr>
      <w:r w:rsidRPr="00616B4B">
        <w:rPr>
          <w:rFonts w:ascii="Calibri" w:eastAsia="Times New Roman" w:hAnsi="Calibri" w:cs="Times New Roman"/>
          <w:b/>
          <w:i/>
          <w:sz w:val="24"/>
        </w:rPr>
        <w:t>Number of Social Associations by County</w:t>
      </w:r>
    </w:p>
    <w:p w:rsidR="00616B4B" w:rsidRPr="00803FC4" w:rsidRDefault="00616B4B" w:rsidP="00803FC4">
      <w:pPr>
        <w:spacing w:after="0" w:line="240" w:lineRule="auto"/>
        <w:rPr>
          <w:rFonts w:ascii="Calibri" w:eastAsia="Times New Roman" w:hAnsi="Calibri" w:cs="Times New Roman"/>
          <w:b/>
          <w:sz w:val="24"/>
        </w:rPr>
      </w:pPr>
      <w:r>
        <w:rPr>
          <w:rFonts w:ascii="Calibri" w:eastAsia="Times New Roman" w:hAnsi="Calibri" w:cs="Times New Roman"/>
          <w:b/>
          <w:noProof/>
          <w:sz w:val="24"/>
        </w:rPr>
        <w:drawing>
          <wp:inline distT="0" distB="0" distL="0" distR="0" wp14:anchorId="30B7E899" wp14:editId="1A630B61">
            <wp:extent cx="5934075" cy="24669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7187" w:rsidRDefault="00067187" w:rsidP="00803FC4">
      <w:pPr>
        <w:keepNext/>
        <w:keepLines/>
        <w:spacing w:before="200" w:after="0" w:line="276" w:lineRule="auto"/>
        <w:outlineLvl w:val="1"/>
        <w:rPr>
          <w:rFonts w:ascii="Cambria" w:eastAsia="Times New Roman" w:hAnsi="Cambria" w:cs="Times New Roman"/>
          <w:b/>
          <w:bCs/>
          <w:sz w:val="32"/>
          <w:szCs w:val="26"/>
        </w:rPr>
      </w:pPr>
    </w:p>
    <w:p w:rsidR="00803FC4" w:rsidRPr="00803FC4" w:rsidRDefault="00803FC4" w:rsidP="00803FC4">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Physical Activity and Eating Habits</w:t>
      </w:r>
    </w:p>
    <w:p w:rsidR="00C227B1"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Regular physical activity helps improve overall health and wellness, reduces risk for obesity, and lessens the likelihood of developing many chronic diseases like cancer and heart disease.</w:t>
      </w:r>
      <w:r w:rsidRPr="00803FC4">
        <w:rPr>
          <w:rFonts w:ascii="Calibri" w:eastAsia="Calibri" w:hAnsi="Calibri" w:cs="Times New Roman"/>
          <w:sz w:val="24"/>
          <w:vertAlign w:val="superscript"/>
        </w:rPr>
        <w:footnoteReference w:id="1"/>
      </w:r>
      <w:r w:rsidRPr="00803FC4">
        <w:rPr>
          <w:rFonts w:ascii="Calibri" w:eastAsia="Calibri" w:hAnsi="Calibri" w:cs="Times New Roman"/>
          <w:sz w:val="24"/>
        </w:rPr>
        <w:t xml:space="preserve">  The national physical activity guidelines recommend that children engage in at least 60 minutes of physical activity each day, including aerobic, muscle strengthening, and bone strengthening activity.  Adults need at least two hours of moderate to vigorous-level activity every week, and muscle-strengthening activities on two or more days a week.</w:t>
      </w:r>
      <w:r w:rsidRPr="00803FC4">
        <w:rPr>
          <w:rFonts w:ascii="Calibri" w:eastAsia="Calibri" w:hAnsi="Calibri" w:cs="Times New Roman"/>
          <w:sz w:val="24"/>
          <w:vertAlign w:val="superscript"/>
        </w:rPr>
        <w:endnoteReference w:id="16"/>
      </w:r>
    </w:p>
    <w:p w:rsidR="002345F3" w:rsidRDefault="00C227B1" w:rsidP="00803FC4">
      <w:pPr>
        <w:spacing w:after="200" w:line="276" w:lineRule="auto"/>
        <w:rPr>
          <w:rFonts w:ascii="Calibri" w:eastAsia="Calibri" w:hAnsi="Calibri" w:cs="Times New Roman"/>
          <w:sz w:val="24"/>
        </w:rPr>
      </w:pPr>
      <w:r>
        <w:rPr>
          <w:rFonts w:ascii="Calibri" w:eastAsia="Calibri" w:hAnsi="Calibri" w:cs="Times New Roman"/>
          <w:sz w:val="24"/>
        </w:rPr>
        <w:t xml:space="preserve">The Minnesota Student Survey asked students in all grades who participated to report on how many days they were physically active for at least 60 minutes per day. The graphs below show the percentage of students, separated by gender, who reported that they got at least 60 minutes of physical activity on five or more days in the </w:t>
      </w:r>
      <w:r w:rsidR="007F098F">
        <w:rPr>
          <w:rFonts w:ascii="Calibri" w:eastAsia="Calibri" w:hAnsi="Calibri" w:cs="Times New Roman"/>
          <w:sz w:val="24"/>
        </w:rPr>
        <w:t>last seven days.</w:t>
      </w:r>
      <w:r>
        <w:rPr>
          <w:rFonts w:ascii="Calibri" w:eastAsia="Calibri" w:hAnsi="Calibri" w:cs="Times New Roman"/>
          <w:sz w:val="24"/>
        </w:rPr>
        <w:t xml:space="preserve"> </w:t>
      </w:r>
      <w:r w:rsidR="0014506A">
        <w:rPr>
          <w:rFonts w:ascii="Calibri" w:eastAsia="Calibri" w:hAnsi="Calibri" w:cs="Times New Roman"/>
          <w:sz w:val="24"/>
        </w:rPr>
        <w:t xml:space="preserve">As a result of some of </w:t>
      </w:r>
      <w:r w:rsidR="0014506A">
        <w:rPr>
          <w:rFonts w:ascii="Calibri" w:eastAsia="Calibri" w:hAnsi="Calibri" w:cs="Times New Roman"/>
          <w:sz w:val="24"/>
        </w:rPr>
        <w:lastRenderedPageBreak/>
        <w:t>the survey numbers being smaller in some counties,</w:t>
      </w:r>
      <w:r w:rsidR="002345F3">
        <w:rPr>
          <w:rFonts w:ascii="Calibri" w:eastAsia="Calibri" w:hAnsi="Calibri" w:cs="Times New Roman"/>
          <w:sz w:val="24"/>
        </w:rPr>
        <w:t xml:space="preserve"> some of the counties were aggregate totals, while others were broken down by gender. Of these findings, 50% or more of 5</w:t>
      </w:r>
      <w:r w:rsidR="002345F3" w:rsidRPr="002345F3">
        <w:rPr>
          <w:rFonts w:ascii="Calibri" w:eastAsia="Calibri" w:hAnsi="Calibri" w:cs="Times New Roman"/>
          <w:sz w:val="24"/>
          <w:vertAlign w:val="superscript"/>
        </w:rPr>
        <w:t>th</w:t>
      </w:r>
      <w:r w:rsidR="002345F3">
        <w:rPr>
          <w:rFonts w:ascii="Calibri" w:eastAsia="Calibri" w:hAnsi="Calibri" w:cs="Times New Roman"/>
          <w:sz w:val="24"/>
        </w:rPr>
        <w:t xml:space="preserve"> graders are getting the recommended physical exercise they need five or more days per week. Traverse County 5</w:t>
      </w:r>
      <w:r w:rsidR="002345F3" w:rsidRPr="002345F3">
        <w:rPr>
          <w:rFonts w:ascii="Calibri" w:eastAsia="Calibri" w:hAnsi="Calibri" w:cs="Times New Roman"/>
          <w:sz w:val="24"/>
          <w:vertAlign w:val="superscript"/>
        </w:rPr>
        <w:t>th</w:t>
      </w:r>
      <w:r w:rsidR="002345F3">
        <w:rPr>
          <w:rFonts w:ascii="Calibri" w:eastAsia="Calibri" w:hAnsi="Calibri" w:cs="Times New Roman"/>
          <w:sz w:val="24"/>
        </w:rPr>
        <w:t xml:space="preserve"> graders did fall below this level at 47%, Douglas County girls only met this 38%</w:t>
      </w:r>
      <w:r w:rsidR="00AD38D3">
        <w:rPr>
          <w:rFonts w:ascii="Calibri" w:eastAsia="Calibri" w:hAnsi="Calibri" w:cs="Times New Roman"/>
          <w:sz w:val="24"/>
        </w:rPr>
        <w:t xml:space="preserve"> of the time</w:t>
      </w:r>
      <w:r w:rsidR="002345F3">
        <w:rPr>
          <w:rFonts w:ascii="Calibri" w:eastAsia="Calibri" w:hAnsi="Calibri" w:cs="Times New Roman"/>
          <w:sz w:val="24"/>
        </w:rPr>
        <w:t xml:space="preserve">. </w:t>
      </w:r>
      <w:r w:rsidR="00AD38D3">
        <w:rPr>
          <w:rFonts w:ascii="Calibri" w:eastAsia="Calibri" w:hAnsi="Calibri" w:cs="Times New Roman"/>
          <w:sz w:val="24"/>
        </w:rPr>
        <w:t>The fifth grade males in Pope County were the most active at 76% of time.</w:t>
      </w:r>
      <w:r w:rsidR="002345F3">
        <w:rPr>
          <w:rFonts w:ascii="Calibri" w:eastAsia="Calibri" w:hAnsi="Calibri" w:cs="Times New Roman"/>
          <w:sz w:val="24"/>
        </w:rPr>
        <w:t xml:space="preserve"> </w:t>
      </w:r>
    </w:p>
    <w:p w:rsidR="00803FC4" w:rsidRDefault="00AD38D3" w:rsidP="00803FC4">
      <w:pPr>
        <w:spacing w:after="200" w:line="276" w:lineRule="auto"/>
        <w:rPr>
          <w:rFonts w:ascii="Calibri" w:eastAsia="Calibri" w:hAnsi="Calibri" w:cs="Times New Roman"/>
          <w:sz w:val="24"/>
        </w:rPr>
      </w:pPr>
      <w:r>
        <w:rPr>
          <w:rFonts w:ascii="Calibri" w:eastAsia="Calibri" w:hAnsi="Calibri" w:cs="Times New Roman"/>
          <w:sz w:val="24"/>
        </w:rPr>
        <w:t>In comparison to the 5</w:t>
      </w:r>
      <w:r w:rsidRPr="00AD38D3">
        <w:rPr>
          <w:rFonts w:ascii="Calibri" w:eastAsia="Calibri" w:hAnsi="Calibri" w:cs="Times New Roman"/>
          <w:sz w:val="24"/>
          <w:vertAlign w:val="superscript"/>
        </w:rPr>
        <w:t>th</w:t>
      </w:r>
      <w:r>
        <w:rPr>
          <w:rFonts w:ascii="Calibri" w:eastAsia="Calibri" w:hAnsi="Calibri" w:cs="Times New Roman"/>
          <w:sz w:val="24"/>
        </w:rPr>
        <w:t xml:space="preserve"> graders, 11</w:t>
      </w:r>
      <w:r w:rsidRPr="00AD38D3">
        <w:rPr>
          <w:rFonts w:ascii="Calibri" w:eastAsia="Calibri" w:hAnsi="Calibri" w:cs="Times New Roman"/>
          <w:sz w:val="24"/>
          <w:vertAlign w:val="superscript"/>
        </w:rPr>
        <w:t>th</w:t>
      </w:r>
      <w:r>
        <w:rPr>
          <w:rFonts w:ascii="Calibri" w:eastAsia="Calibri" w:hAnsi="Calibri" w:cs="Times New Roman"/>
          <w:sz w:val="24"/>
        </w:rPr>
        <w:t xml:space="preserve"> graders were more often to have lower rates than this. Pope County 11</w:t>
      </w:r>
      <w:r w:rsidRPr="00AD38D3">
        <w:rPr>
          <w:rFonts w:ascii="Calibri" w:eastAsia="Calibri" w:hAnsi="Calibri" w:cs="Times New Roman"/>
          <w:sz w:val="24"/>
          <w:vertAlign w:val="superscript"/>
        </w:rPr>
        <w:t>th</w:t>
      </w:r>
      <w:r>
        <w:rPr>
          <w:rFonts w:ascii="Calibri" w:eastAsia="Calibri" w:hAnsi="Calibri" w:cs="Times New Roman"/>
          <w:sz w:val="24"/>
        </w:rPr>
        <w:t xml:space="preserve"> graders continued to have higher rates in comparison to all other 11</w:t>
      </w:r>
      <w:r w:rsidRPr="00AD38D3">
        <w:rPr>
          <w:rFonts w:ascii="Calibri" w:eastAsia="Calibri" w:hAnsi="Calibri" w:cs="Times New Roman"/>
          <w:sz w:val="24"/>
          <w:vertAlign w:val="superscript"/>
        </w:rPr>
        <w:t>th</w:t>
      </w:r>
      <w:r>
        <w:rPr>
          <w:rFonts w:ascii="Calibri" w:eastAsia="Calibri" w:hAnsi="Calibri" w:cs="Times New Roman"/>
          <w:sz w:val="24"/>
        </w:rPr>
        <w:t xml:space="preserve"> graders in the five counties.</w:t>
      </w:r>
    </w:p>
    <w:p w:rsidR="00C227B1" w:rsidRPr="00C227B1" w:rsidRDefault="00FB60CF" w:rsidP="00803FC4">
      <w:pPr>
        <w:spacing w:after="200" w:line="276" w:lineRule="auto"/>
        <w:rPr>
          <w:rFonts w:ascii="Calibri" w:eastAsia="Calibri" w:hAnsi="Calibri" w:cs="Times New Roman"/>
          <w:b/>
          <w:i/>
          <w:sz w:val="24"/>
        </w:rPr>
      </w:pPr>
      <w:r>
        <w:rPr>
          <w:rFonts w:ascii="Calibri" w:eastAsia="Calibri" w:hAnsi="Calibri" w:cs="Times New Roman"/>
          <w:b/>
          <w:i/>
          <w:sz w:val="24"/>
        </w:rPr>
        <w:t>Percent of students by grade and gender in Douglas County</w:t>
      </w:r>
      <w:r w:rsidR="00C227B1" w:rsidRPr="00C227B1">
        <w:rPr>
          <w:rFonts w:ascii="Calibri" w:eastAsia="Calibri" w:hAnsi="Calibri" w:cs="Times New Roman"/>
          <w:b/>
          <w:i/>
          <w:sz w:val="24"/>
        </w:rPr>
        <w:t xml:space="preserve"> w</w:t>
      </w:r>
      <w:r w:rsidR="007F098F">
        <w:rPr>
          <w:rFonts w:ascii="Calibri" w:eastAsia="Calibri" w:hAnsi="Calibri" w:cs="Times New Roman"/>
          <w:b/>
          <w:i/>
          <w:sz w:val="24"/>
        </w:rPr>
        <w:t xml:space="preserve">ho report they got at least 60 </w:t>
      </w:r>
      <w:r w:rsidR="00C227B1" w:rsidRPr="00C227B1">
        <w:rPr>
          <w:rFonts w:ascii="Calibri" w:eastAsia="Calibri" w:hAnsi="Calibri" w:cs="Times New Roman"/>
          <w:b/>
          <w:i/>
          <w:sz w:val="24"/>
        </w:rPr>
        <w:t xml:space="preserve">minutes  of physical activity five or more days in the </w:t>
      </w:r>
      <w:r w:rsidR="007F098F">
        <w:rPr>
          <w:rFonts w:ascii="Calibri" w:eastAsia="Calibri" w:hAnsi="Calibri" w:cs="Times New Roman"/>
          <w:b/>
          <w:i/>
          <w:sz w:val="24"/>
        </w:rPr>
        <w:t>last seven days</w:t>
      </w:r>
    </w:p>
    <w:p w:rsidR="00303E10" w:rsidRPr="00FE5918" w:rsidRDefault="00C227B1" w:rsidP="00803FC4">
      <w:pPr>
        <w:spacing w:after="200" w:line="276" w:lineRule="auto"/>
        <w:rPr>
          <w:rFonts w:ascii="Calibri" w:eastAsia="Calibri" w:hAnsi="Calibri" w:cs="Times New Roman"/>
          <w:sz w:val="24"/>
        </w:rPr>
      </w:pPr>
      <w:r>
        <w:rPr>
          <w:rFonts w:ascii="Calibri" w:eastAsia="Calibri" w:hAnsi="Calibri" w:cs="Times New Roman"/>
          <w:noProof/>
          <w:sz w:val="24"/>
        </w:rPr>
        <w:drawing>
          <wp:inline distT="0" distB="0" distL="0" distR="0" wp14:anchorId="64B83AE3" wp14:editId="0AB80E94">
            <wp:extent cx="6162675" cy="247650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098F" w:rsidRDefault="007F098F" w:rsidP="00803FC4">
      <w:pPr>
        <w:spacing w:after="200" w:line="276" w:lineRule="auto"/>
        <w:rPr>
          <w:rFonts w:ascii="Calibri" w:eastAsia="Calibri" w:hAnsi="Calibri" w:cs="Times New Roman"/>
          <w:b/>
          <w:i/>
          <w:sz w:val="24"/>
          <w:szCs w:val="24"/>
        </w:rPr>
      </w:pPr>
      <w:r w:rsidRPr="007F098F">
        <w:rPr>
          <w:rFonts w:ascii="Calibri" w:eastAsia="Calibri" w:hAnsi="Calibri" w:cs="Times New Roman"/>
          <w:b/>
          <w:i/>
          <w:sz w:val="24"/>
          <w:szCs w:val="24"/>
        </w:rPr>
        <w:t xml:space="preserve">Percent of students </w:t>
      </w:r>
      <w:r w:rsidR="00FB60CF">
        <w:rPr>
          <w:rFonts w:ascii="Calibri" w:eastAsia="Calibri" w:hAnsi="Calibri" w:cs="Times New Roman"/>
          <w:b/>
          <w:i/>
          <w:sz w:val="24"/>
          <w:szCs w:val="24"/>
        </w:rPr>
        <w:t xml:space="preserve">by grade in Grant County </w:t>
      </w:r>
      <w:r w:rsidRPr="007F098F">
        <w:rPr>
          <w:rFonts w:ascii="Calibri" w:eastAsia="Calibri" w:hAnsi="Calibri" w:cs="Times New Roman"/>
          <w:b/>
          <w:i/>
          <w:sz w:val="24"/>
          <w:szCs w:val="24"/>
        </w:rPr>
        <w:t xml:space="preserve">who report they got at least 60 minutes of physical activity five or more days in the </w:t>
      </w:r>
      <w:r>
        <w:rPr>
          <w:rFonts w:ascii="Calibri" w:eastAsia="Calibri" w:hAnsi="Calibri" w:cs="Times New Roman"/>
          <w:b/>
          <w:i/>
          <w:sz w:val="24"/>
          <w:szCs w:val="24"/>
        </w:rPr>
        <w:t>last seven days</w:t>
      </w:r>
    </w:p>
    <w:p w:rsidR="0014506A" w:rsidRDefault="007F098F" w:rsidP="00FB60CF">
      <w:pPr>
        <w:spacing w:after="200" w:line="276" w:lineRule="auto"/>
        <w:rPr>
          <w:rFonts w:ascii="Calibri" w:eastAsia="Calibri" w:hAnsi="Calibri" w:cs="Times New Roman"/>
          <w:b/>
          <w:i/>
          <w:sz w:val="24"/>
          <w:szCs w:val="24"/>
        </w:rPr>
      </w:pPr>
      <w:r w:rsidRPr="001D3257">
        <w:rPr>
          <w:rFonts w:ascii="Calibri" w:eastAsia="Calibri" w:hAnsi="Calibri" w:cs="Times New Roman"/>
          <w:b/>
          <w:i/>
          <w:noProof/>
          <w:color w:val="ED7D31" w:themeColor="accent2"/>
          <w:sz w:val="24"/>
          <w:szCs w:val="24"/>
        </w:rPr>
        <w:drawing>
          <wp:inline distT="0" distB="0" distL="0" distR="0" wp14:anchorId="5213FDC2" wp14:editId="63FAEBF1">
            <wp:extent cx="6219825" cy="23812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B60CF" w:rsidRDefault="00FB60CF" w:rsidP="00FB60CF">
      <w:pPr>
        <w:spacing w:after="200" w:line="276" w:lineRule="auto"/>
        <w:rPr>
          <w:rFonts w:ascii="Calibri" w:eastAsia="Calibri" w:hAnsi="Calibri" w:cs="Times New Roman"/>
          <w:b/>
          <w:i/>
          <w:sz w:val="24"/>
          <w:szCs w:val="24"/>
        </w:rPr>
      </w:pPr>
      <w:r w:rsidRPr="007F098F">
        <w:rPr>
          <w:rFonts w:ascii="Calibri" w:eastAsia="Calibri" w:hAnsi="Calibri" w:cs="Times New Roman"/>
          <w:b/>
          <w:i/>
          <w:sz w:val="24"/>
          <w:szCs w:val="24"/>
        </w:rPr>
        <w:lastRenderedPageBreak/>
        <w:t xml:space="preserve">Percent of students </w:t>
      </w:r>
      <w:r>
        <w:rPr>
          <w:rFonts w:ascii="Calibri" w:eastAsia="Calibri" w:hAnsi="Calibri" w:cs="Times New Roman"/>
          <w:b/>
          <w:i/>
          <w:sz w:val="24"/>
          <w:szCs w:val="24"/>
        </w:rPr>
        <w:t xml:space="preserve">by grade and gender in Pope County </w:t>
      </w:r>
      <w:r w:rsidRPr="007F098F">
        <w:rPr>
          <w:rFonts w:ascii="Calibri" w:eastAsia="Calibri" w:hAnsi="Calibri" w:cs="Times New Roman"/>
          <w:b/>
          <w:i/>
          <w:sz w:val="24"/>
          <w:szCs w:val="24"/>
        </w:rPr>
        <w:t xml:space="preserve">who report they got at least 60 minutes of physical activity five or more days in the </w:t>
      </w:r>
      <w:r>
        <w:rPr>
          <w:rFonts w:ascii="Calibri" w:eastAsia="Calibri" w:hAnsi="Calibri" w:cs="Times New Roman"/>
          <w:b/>
          <w:i/>
          <w:sz w:val="24"/>
          <w:szCs w:val="24"/>
        </w:rPr>
        <w:t>last seven days</w:t>
      </w:r>
    </w:p>
    <w:p w:rsidR="00FB60CF" w:rsidRDefault="00FB60CF" w:rsidP="00803FC4">
      <w:pPr>
        <w:spacing w:after="200" w:line="276" w:lineRule="auto"/>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2C3A6F0B" wp14:editId="58C2C173">
            <wp:extent cx="6381750" cy="25527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B60CF" w:rsidRDefault="00FB60CF" w:rsidP="00803FC4">
      <w:pPr>
        <w:spacing w:after="200" w:line="276" w:lineRule="auto"/>
        <w:rPr>
          <w:rFonts w:ascii="Calibri" w:eastAsia="Calibri" w:hAnsi="Calibri" w:cs="Times New Roman"/>
          <w:sz w:val="20"/>
          <w:szCs w:val="20"/>
        </w:rPr>
      </w:pPr>
    </w:p>
    <w:p w:rsidR="00FB60CF" w:rsidRDefault="00FB60CF" w:rsidP="00FB60CF">
      <w:pPr>
        <w:spacing w:after="200" w:line="276" w:lineRule="auto"/>
        <w:rPr>
          <w:rFonts w:ascii="Calibri" w:eastAsia="Calibri" w:hAnsi="Calibri" w:cs="Times New Roman"/>
          <w:b/>
          <w:i/>
          <w:sz w:val="24"/>
          <w:szCs w:val="24"/>
        </w:rPr>
      </w:pPr>
      <w:r w:rsidRPr="007F098F">
        <w:rPr>
          <w:rFonts w:ascii="Calibri" w:eastAsia="Calibri" w:hAnsi="Calibri" w:cs="Times New Roman"/>
          <w:b/>
          <w:i/>
          <w:sz w:val="24"/>
          <w:szCs w:val="24"/>
        </w:rPr>
        <w:t xml:space="preserve">Percent of students </w:t>
      </w:r>
      <w:r>
        <w:rPr>
          <w:rFonts w:ascii="Calibri" w:eastAsia="Calibri" w:hAnsi="Calibri" w:cs="Times New Roman"/>
          <w:b/>
          <w:i/>
          <w:sz w:val="24"/>
          <w:szCs w:val="24"/>
        </w:rPr>
        <w:t xml:space="preserve">by grade and gender in Stevens County </w:t>
      </w:r>
      <w:r w:rsidRPr="007F098F">
        <w:rPr>
          <w:rFonts w:ascii="Calibri" w:eastAsia="Calibri" w:hAnsi="Calibri" w:cs="Times New Roman"/>
          <w:b/>
          <w:i/>
          <w:sz w:val="24"/>
          <w:szCs w:val="24"/>
        </w:rPr>
        <w:t xml:space="preserve">who report they got at least 60 minutes of physical activity five or more days in the </w:t>
      </w:r>
      <w:r>
        <w:rPr>
          <w:rFonts w:ascii="Calibri" w:eastAsia="Calibri" w:hAnsi="Calibri" w:cs="Times New Roman"/>
          <w:b/>
          <w:i/>
          <w:sz w:val="24"/>
          <w:szCs w:val="24"/>
        </w:rPr>
        <w:t>last seven days</w:t>
      </w:r>
    </w:p>
    <w:p w:rsidR="00E33B1E" w:rsidRPr="0014506A" w:rsidRDefault="00FB60CF" w:rsidP="00FB60CF">
      <w:pPr>
        <w:spacing w:after="200" w:line="276" w:lineRule="auto"/>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42844B6B" wp14:editId="684E1E43">
            <wp:extent cx="6534150" cy="27908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606B6" w:rsidRDefault="001606B6" w:rsidP="00FB60CF">
      <w:pPr>
        <w:spacing w:after="200" w:line="276" w:lineRule="auto"/>
        <w:rPr>
          <w:rFonts w:ascii="Calibri" w:eastAsia="Calibri" w:hAnsi="Calibri" w:cs="Times New Roman"/>
          <w:b/>
          <w:i/>
          <w:sz w:val="24"/>
          <w:szCs w:val="24"/>
        </w:rPr>
      </w:pPr>
    </w:p>
    <w:p w:rsidR="001606B6" w:rsidRDefault="001606B6" w:rsidP="00FB60CF">
      <w:pPr>
        <w:spacing w:after="200" w:line="276" w:lineRule="auto"/>
        <w:rPr>
          <w:rFonts w:ascii="Calibri" w:eastAsia="Calibri" w:hAnsi="Calibri" w:cs="Times New Roman"/>
          <w:b/>
          <w:i/>
          <w:sz w:val="24"/>
          <w:szCs w:val="24"/>
        </w:rPr>
      </w:pPr>
    </w:p>
    <w:p w:rsidR="001606B6" w:rsidRDefault="001606B6" w:rsidP="00FB60CF">
      <w:pPr>
        <w:spacing w:after="200" w:line="276" w:lineRule="auto"/>
        <w:rPr>
          <w:rFonts w:ascii="Calibri" w:eastAsia="Calibri" w:hAnsi="Calibri" w:cs="Times New Roman"/>
          <w:b/>
          <w:i/>
          <w:sz w:val="24"/>
          <w:szCs w:val="24"/>
        </w:rPr>
      </w:pPr>
    </w:p>
    <w:p w:rsidR="00FB60CF" w:rsidRDefault="00FB60CF" w:rsidP="00FB60CF">
      <w:pPr>
        <w:spacing w:after="200" w:line="276" w:lineRule="auto"/>
        <w:rPr>
          <w:rFonts w:ascii="Calibri" w:eastAsia="Calibri" w:hAnsi="Calibri" w:cs="Times New Roman"/>
          <w:b/>
          <w:i/>
          <w:sz w:val="24"/>
          <w:szCs w:val="24"/>
        </w:rPr>
      </w:pPr>
      <w:r w:rsidRPr="007F098F">
        <w:rPr>
          <w:rFonts w:ascii="Calibri" w:eastAsia="Calibri" w:hAnsi="Calibri" w:cs="Times New Roman"/>
          <w:b/>
          <w:i/>
          <w:sz w:val="24"/>
          <w:szCs w:val="24"/>
        </w:rPr>
        <w:lastRenderedPageBreak/>
        <w:t xml:space="preserve">Percent of students </w:t>
      </w:r>
      <w:r w:rsidR="00135CD5">
        <w:rPr>
          <w:rFonts w:ascii="Calibri" w:eastAsia="Calibri" w:hAnsi="Calibri" w:cs="Times New Roman"/>
          <w:b/>
          <w:i/>
          <w:sz w:val="24"/>
          <w:szCs w:val="24"/>
        </w:rPr>
        <w:t>by grade in Traverse</w:t>
      </w:r>
      <w:r>
        <w:rPr>
          <w:rFonts w:ascii="Calibri" w:eastAsia="Calibri" w:hAnsi="Calibri" w:cs="Times New Roman"/>
          <w:b/>
          <w:i/>
          <w:sz w:val="24"/>
          <w:szCs w:val="24"/>
        </w:rPr>
        <w:t xml:space="preserve"> County </w:t>
      </w:r>
      <w:r w:rsidRPr="007F098F">
        <w:rPr>
          <w:rFonts w:ascii="Calibri" w:eastAsia="Calibri" w:hAnsi="Calibri" w:cs="Times New Roman"/>
          <w:b/>
          <w:i/>
          <w:sz w:val="24"/>
          <w:szCs w:val="24"/>
        </w:rPr>
        <w:t xml:space="preserve">who report they got at least 60 minutes of physical activity five or more days in the </w:t>
      </w:r>
      <w:r>
        <w:rPr>
          <w:rFonts w:ascii="Calibri" w:eastAsia="Calibri" w:hAnsi="Calibri" w:cs="Times New Roman"/>
          <w:b/>
          <w:i/>
          <w:sz w:val="24"/>
          <w:szCs w:val="24"/>
        </w:rPr>
        <w:t>last seven days</w:t>
      </w:r>
    </w:p>
    <w:p w:rsidR="00FB60CF" w:rsidRDefault="00FB60CF" w:rsidP="00803FC4">
      <w:pPr>
        <w:spacing w:after="200" w:line="276" w:lineRule="auto"/>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17EBDABE" wp14:editId="4E335BCD">
            <wp:extent cx="6381750" cy="2362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75EF0" w:rsidRDefault="00875EF0" w:rsidP="00803FC4">
      <w:pPr>
        <w:spacing w:after="200" w:line="276" w:lineRule="auto"/>
        <w:rPr>
          <w:rFonts w:ascii="Calibri" w:eastAsia="Calibri" w:hAnsi="Calibri" w:cs="Times New Roman"/>
          <w:sz w:val="20"/>
          <w:szCs w:val="20"/>
        </w:rPr>
      </w:pPr>
      <w:r>
        <w:rPr>
          <w:rFonts w:ascii="Calibri" w:eastAsia="Calibri" w:hAnsi="Calibri" w:cs="Times New Roman"/>
          <w:sz w:val="20"/>
          <w:szCs w:val="20"/>
        </w:rPr>
        <w:t>Source: Minnesota Student Survey, 2016</w:t>
      </w:r>
      <w:r>
        <w:rPr>
          <w:rStyle w:val="EndnoteReference"/>
          <w:rFonts w:ascii="Calibri" w:eastAsia="Calibri" w:hAnsi="Calibri" w:cs="Times New Roman"/>
          <w:sz w:val="20"/>
          <w:szCs w:val="20"/>
        </w:rPr>
        <w:endnoteReference w:id="17"/>
      </w:r>
    </w:p>
    <w:p w:rsidR="00AD38D3" w:rsidRDefault="00AD38D3" w:rsidP="00803FC4">
      <w:pPr>
        <w:spacing w:after="200" w:line="276" w:lineRule="auto"/>
        <w:rPr>
          <w:rFonts w:ascii="Calibri" w:eastAsia="Calibri" w:hAnsi="Calibri" w:cs="Times New Roman"/>
          <w:sz w:val="24"/>
        </w:rPr>
      </w:pPr>
    </w:p>
    <w:p w:rsidR="0016639F" w:rsidRDefault="003C69C9" w:rsidP="00803FC4">
      <w:pPr>
        <w:spacing w:after="200" w:line="276" w:lineRule="auto"/>
        <w:rPr>
          <w:rFonts w:ascii="Calibri" w:eastAsia="Calibri" w:hAnsi="Calibri" w:cs="Times New Roman"/>
          <w:sz w:val="24"/>
        </w:rPr>
      </w:pPr>
      <w:r>
        <w:rPr>
          <w:rFonts w:ascii="Calibri" w:eastAsia="Calibri" w:hAnsi="Calibri" w:cs="Times New Roman"/>
          <w:sz w:val="24"/>
        </w:rPr>
        <w:t>More than 80% of adults nationwide are not meeting the recommended guideli</w:t>
      </w:r>
      <w:r w:rsidR="00875EF0">
        <w:rPr>
          <w:rFonts w:ascii="Calibri" w:eastAsia="Calibri" w:hAnsi="Calibri" w:cs="Times New Roman"/>
          <w:sz w:val="24"/>
        </w:rPr>
        <w:t>n</w:t>
      </w:r>
      <w:r>
        <w:rPr>
          <w:rFonts w:ascii="Calibri" w:eastAsia="Calibri" w:hAnsi="Calibri" w:cs="Times New Roman"/>
          <w:sz w:val="24"/>
        </w:rPr>
        <w:t>es for aerobic and m</w:t>
      </w:r>
      <w:r w:rsidR="00875EF0">
        <w:rPr>
          <w:rFonts w:ascii="Calibri" w:eastAsia="Calibri" w:hAnsi="Calibri" w:cs="Times New Roman"/>
          <w:sz w:val="24"/>
        </w:rPr>
        <w:t>uscle-strengthening activities</w:t>
      </w:r>
      <w:r>
        <w:rPr>
          <w:rFonts w:ascii="Calibri" w:eastAsia="Calibri" w:hAnsi="Calibri" w:cs="Times New Roman"/>
          <w:sz w:val="24"/>
        </w:rPr>
        <w:t>.</w:t>
      </w:r>
      <w:r w:rsidR="00875EF0">
        <w:rPr>
          <w:rStyle w:val="EndnoteReference"/>
          <w:rFonts w:ascii="Calibri" w:eastAsia="Calibri" w:hAnsi="Calibri" w:cs="Times New Roman"/>
          <w:sz w:val="24"/>
        </w:rPr>
        <w:endnoteReference w:id="18"/>
      </w:r>
      <w:r>
        <w:rPr>
          <w:rFonts w:ascii="Calibri" w:eastAsia="Calibri" w:hAnsi="Calibri" w:cs="Times New Roman"/>
          <w:sz w:val="24"/>
        </w:rPr>
        <w:t xml:space="preserve"> </w:t>
      </w:r>
      <w:r w:rsidR="00803FC4" w:rsidRPr="00803FC4">
        <w:rPr>
          <w:rFonts w:ascii="Calibri" w:eastAsia="Calibri" w:hAnsi="Calibri" w:cs="Times New Roman"/>
          <w:sz w:val="24"/>
        </w:rPr>
        <w:t>Below is a chart that shows the percent of adults w</w:t>
      </w:r>
      <w:r w:rsidR="008E72EF">
        <w:rPr>
          <w:rFonts w:ascii="Calibri" w:eastAsia="Calibri" w:hAnsi="Calibri" w:cs="Times New Roman"/>
          <w:sz w:val="24"/>
        </w:rPr>
        <w:t>ho were physically inactive in 2015 following a random survey distributed by the Statewide Health Improvement Partnership (SHIP)</w:t>
      </w:r>
      <w:r w:rsidR="00803FC4" w:rsidRPr="00803FC4">
        <w:rPr>
          <w:rFonts w:ascii="Calibri" w:eastAsia="Calibri" w:hAnsi="Calibri" w:cs="Times New Roman"/>
          <w:sz w:val="24"/>
        </w:rPr>
        <w:t xml:space="preserve">.  </w:t>
      </w:r>
      <w:r>
        <w:rPr>
          <w:rFonts w:ascii="Calibri" w:eastAsia="Calibri" w:hAnsi="Calibri" w:cs="Times New Roman"/>
          <w:sz w:val="24"/>
        </w:rPr>
        <w:t>The percentages indi</w:t>
      </w:r>
      <w:r w:rsidR="00060F1F">
        <w:rPr>
          <w:rFonts w:ascii="Calibri" w:eastAsia="Calibri" w:hAnsi="Calibri" w:cs="Times New Roman"/>
          <w:sz w:val="24"/>
        </w:rPr>
        <w:t>cate an area for improvement for physical activity opportunities.</w:t>
      </w:r>
    </w:p>
    <w:p w:rsidR="0055112A" w:rsidRPr="0055112A" w:rsidRDefault="0055112A" w:rsidP="00803FC4">
      <w:pPr>
        <w:spacing w:after="200" w:line="276" w:lineRule="auto"/>
        <w:rPr>
          <w:rFonts w:ascii="Calibri" w:eastAsia="Calibri" w:hAnsi="Calibri" w:cs="Times New Roman"/>
          <w:b/>
          <w:i/>
          <w:sz w:val="24"/>
        </w:rPr>
      </w:pPr>
      <w:r w:rsidRPr="0055112A">
        <w:rPr>
          <w:rFonts w:ascii="Calibri" w:eastAsia="Calibri" w:hAnsi="Calibri" w:cs="Times New Roman"/>
          <w:b/>
          <w:i/>
          <w:sz w:val="24"/>
        </w:rPr>
        <w:t xml:space="preserve">Percent of physical Activity Rates for Adults in Horizon CHB </w:t>
      </w:r>
      <w:r w:rsidR="0016639F">
        <w:rPr>
          <w:rFonts w:ascii="Calibri" w:eastAsia="Calibri" w:hAnsi="Calibri" w:cs="Times New Roman"/>
          <w:b/>
          <w:i/>
          <w:sz w:val="24"/>
        </w:rPr>
        <w:t>Area</w:t>
      </w:r>
    </w:p>
    <w:p w:rsidR="008E72EF" w:rsidRDefault="008E72EF" w:rsidP="00803FC4">
      <w:pPr>
        <w:spacing w:after="200" w:line="276" w:lineRule="auto"/>
        <w:rPr>
          <w:rFonts w:ascii="Calibri" w:eastAsia="Calibri" w:hAnsi="Calibri" w:cs="Times New Roman"/>
          <w:b/>
          <w:sz w:val="24"/>
        </w:rPr>
      </w:pPr>
      <w:r w:rsidRPr="008E72EF">
        <w:rPr>
          <w:rFonts w:ascii="Calibri" w:eastAsia="Calibri" w:hAnsi="Calibri" w:cs="Times New Roman"/>
          <w:b/>
          <w:noProof/>
          <w:sz w:val="24"/>
        </w:rPr>
        <w:drawing>
          <wp:inline distT="0" distB="0" distL="0" distR="0" wp14:anchorId="2355AAD4" wp14:editId="28875B50">
            <wp:extent cx="6524625" cy="26003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72EF" w:rsidRPr="007A1DE1" w:rsidRDefault="007A1DE1" w:rsidP="00803FC4">
      <w:pPr>
        <w:spacing w:after="200" w:line="276" w:lineRule="auto"/>
        <w:rPr>
          <w:rFonts w:ascii="Calibri" w:eastAsia="Calibri" w:hAnsi="Calibri" w:cs="Times New Roman"/>
          <w:sz w:val="20"/>
          <w:szCs w:val="20"/>
        </w:rPr>
      </w:pPr>
      <w:r w:rsidRPr="007A1DE1">
        <w:rPr>
          <w:rFonts w:ascii="Calibri" w:eastAsia="Calibri" w:hAnsi="Calibri" w:cs="Times New Roman"/>
          <w:sz w:val="20"/>
          <w:szCs w:val="20"/>
        </w:rPr>
        <w:t>Source: SHIP Survey, 2015</w:t>
      </w:r>
    </w:p>
    <w:p w:rsidR="00AD38D3" w:rsidRDefault="00AD38D3" w:rsidP="00803FC4">
      <w:pPr>
        <w:spacing w:after="200" w:line="276" w:lineRule="auto"/>
        <w:rPr>
          <w:rFonts w:ascii="Cambria" w:eastAsia="Calibri" w:hAnsi="Cambria" w:cs="Times New Roman"/>
          <w:b/>
          <w:sz w:val="36"/>
          <w:szCs w:val="36"/>
        </w:rPr>
      </w:pPr>
      <w:r>
        <w:rPr>
          <w:rFonts w:ascii="Cambria" w:eastAsia="Calibri" w:hAnsi="Cambria" w:cs="Times New Roman"/>
          <w:b/>
          <w:sz w:val="36"/>
          <w:szCs w:val="36"/>
        </w:rPr>
        <w:lastRenderedPageBreak/>
        <w:t>Eating Habits</w:t>
      </w:r>
    </w:p>
    <w:p w:rsidR="00803FC4" w:rsidRPr="00AD38D3" w:rsidRDefault="00803FC4" w:rsidP="00803FC4">
      <w:pPr>
        <w:spacing w:after="200" w:line="276" w:lineRule="auto"/>
        <w:rPr>
          <w:rFonts w:ascii="Cambria" w:eastAsia="Calibri" w:hAnsi="Cambria" w:cs="Times New Roman"/>
          <w:b/>
          <w:sz w:val="36"/>
          <w:szCs w:val="36"/>
        </w:rPr>
      </w:pPr>
      <w:r w:rsidRPr="00803FC4">
        <w:rPr>
          <w:rFonts w:ascii="Calibri" w:eastAsia="Calibri" w:hAnsi="Calibri" w:cs="Times New Roman"/>
          <w:sz w:val="24"/>
        </w:rPr>
        <w:t>Food directly affects a person’s mental, emotional, and physical wellbeing.  It affects a person’s health and growth as an individual.  Eating a balanced diet is essential for maintaining a healthy lifestyle.</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 xml:space="preserve">Below is a graph that shows the percent of students who ate five or more servings of fruits, or vegetables yesterday. The recommended portion of fruits and vegetables is two to four and three to five servings respectively according to the US Department of Agriculture.  </w:t>
      </w:r>
    </w:p>
    <w:p w:rsidR="00875EF0" w:rsidRPr="00AD38D3" w:rsidRDefault="00060F1F" w:rsidP="00803FC4">
      <w:pPr>
        <w:spacing w:after="200" w:line="276" w:lineRule="auto"/>
        <w:rPr>
          <w:rFonts w:ascii="Calibri" w:eastAsia="Calibri" w:hAnsi="Calibri" w:cs="Times New Roman"/>
          <w:sz w:val="24"/>
        </w:rPr>
      </w:pPr>
      <w:r>
        <w:rPr>
          <w:rFonts w:ascii="Calibri" w:eastAsia="Calibri" w:hAnsi="Calibri" w:cs="Times New Roman"/>
          <w:sz w:val="24"/>
        </w:rPr>
        <w:t xml:space="preserve">The percentages of individuals who eat two four servings of fruit accounts for approximately 75 percent of the surveyed population. </w:t>
      </w:r>
      <w:r w:rsidR="002E131B">
        <w:rPr>
          <w:rFonts w:ascii="Calibri" w:eastAsia="Calibri" w:hAnsi="Calibri" w:cs="Times New Roman"/>
          <w:sz w:val="24"/>
        </w:rPr>
        <w:t>In comparison, individuals surveyed consumed under 22 percent of the recommended vegetable intake. These two graphs may imply that individuals are more likely to consume fruits than vegetables, which may be related to cost, accessibility, and availability of the foods.</w:t>
      </w:r>
    </w:p>
    <w:p w:rsidR="00060F1F" w:rsidRPr="00060F1F" w:rsidRDefault="00060F1F" w:rsidP="00803FC4">
      <w:pPr>
        <w:spacing w:after="200" w:line="276" w:lineRule="auto"/>
        <w:rPr>
          <w:rFonts w:ascii="Calibri" w:eastAsia="Calibri" w:hAnsi="Calibri" w:cs="Times New Roman"/>
          <w:b/>
          <w:i/>
          <w:sz w:val="24"/>
        </w:rPr>
      </w:pPr>
      <w:r w:rsidRPr="00060F1F">
        <w:rPr>
          <w:rFonts w:ascii="Calibri" w:eastAsia="Calibri" w:hAnsi="Calibri" w:cs="Times New Roman"/>
          <w:b/>
          <w:i/>
          <w:sz w:val="24"/>
        </w:rPr>
        <w:t>Percent of solid fruit servings consumed yesterday</w:t>
      </w:r>
    </w:p>
    <w:p w:rsidR="00FE5918" w:rsidRDefault="00060F1F" w:rsidP="00060F1F">
      <w:pPr>
        <w:spacing w:after="200" w:line="276" w:lineRule="auto"/>
        <w:rPr>
          <w:rFonts w:ascii="Calibri" w:eastAsia="Calibri" w:hAnsi="Calibri" w:cs="Times New Roman"/>
          <w:sz w:val="24"/>
        </w:rPr>
      </w:pPr>
      <w:r w:rsidRPr="00060F1F">
        <w:rPr>
          <w:rFonts w:ascii="Calibri" w:eastAsia="Calibri" w:hAnsi="Calibri" w:cs="Times New Roman"/>
          <w:noProof/>
          <w:sz w:val="24"/>
        </w:rPr>
        <w:drawing>
          <wp:inline distT="0" distB="0" distL="0" distR="0" wp14:anchorId="6BC6CCCC" wp14:editId="44ABABEA">
            <wp:extent cx="6219825" cy="17145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60F1F" w:rsidRPr="00FE5918" w:rsidRDefault="00060F1F" w:rsidP="00FE5918">
      <w:pPr>
        <w:spacing w:after="200" w:line="276" w:lineRule="auto"/>
        <w:rPr>
          <w:rFonts w:ascii="Calibri" w:eastAsia="Calibri" w:hAnsi="Calibri" w:cs="Times New Roman"/>
          <w:sz w:val="24"/>
        </w:rPr>
      </w:pPr>
      <w:r>
        <w:rPr>
          <w:rFonts w:ascii="Calibri" w:eastAsia="Calibri" w:hAnsi="Calibri" w:cs="Times New Roman"/>
          <w:b/>
          <w:i/>
          <w:sz w:val="24"/>
        </w:rPr>
        <w:t>Percent of solid vegetable</w:t>
      </w:r>
      <w:r w:rsidRPr="00060F1F">
        <w:rPr>
          <w:rFonts w:ascii="Calibri" w:eastAsia="Calibri" w:hAnsi="Calibri" w:cs="Times New Roman"/>
          <w:b/>
          <w:i/>
          <w:sz w:val="24"/>
        </w:rPr>
        <w:t xml:space="preserve"> servings consumed yesterday</w:t>
      </w:r>
    </w:p>
    <w:p w:rsidR="00060F1F" w:rsidRDefault="00060F1F" w:rsidP="00803FC4">
      <w:pPr>
        <w:spacing w:after="0" w:line="240" w:lineRule="auto"/>
        <w:rPr>
          <w:rFonts w:ascii="Calibri" w:eastAsia="Times New Roman" w:hAnsi="Calibri" w:cs="Times New Roman"/>
          <w:i/>
        </w:rPr>
      </w:pPr>
      <w:r w:rsidRPr="00060F1F">
        <w:rPr>
          <w:rFonts w:ascii="Calibri" w:eastAsia="Times New Roman" w:hAnsi="Calibri" w:cs="Times New Roman"/>
          <w:i/>
          <w:noProof/>
        </w:rPr>
        <w:drawing>
          <wp:inline distT="0" distB="0" distL="0" distR="0" wp14:anchorId="08EF08F4" wp14:editId="55371D0E">
            <wp:extent cx="6038850" cy="21050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03FC4" w:rsidRPr="00803FC4" w:rsidRDefault="00803FC4" w:rsidP="00803FC4">
      <w:pPr>
        <w:spacing w:after="0" w:line="240" w:lineRule="auto"/>
        <w:rPr>
          <w:rFonts w:ascii="Calibri" w:eastAsia="Times New Roman" w:hAnsi="Calibri" w:cs="Times New Roman"/>
          <w:i/>
        </w:rPr>
      </w:pPr>
      <w:r w:rsidRPr="00803FC4">
        <w:rPr>
          <w:rFonts w:ascii="Calibri" w:eastAsia="Times New Roman" w:hAnsi="Calibri" w:cs="Times New Roman"/>
          <w:i/>
        </w:rPr>
        <w:t xml:space="preserve">Source: </w:t>
      </w:r>
      <w:r w:rsidR="00060F1F">
        <w:rPr>
          <w:rFonts w:ascii="Calibri" w:eastAsia="Times New Roman" w:hAnsi="Calibri" w:cs="Times New Roman"/>
          <w:i/>
        </w:rPr>
        <w:t>Horizon Public Health SHIP Survey, 2015.</w:t>
      </w:r>
    </w:p>
    <w:p w:rsidR="00803FC4" w:rsidRPr="00803FC4" w:rsidRDefault="00803FC4" w:rsidP="00803FC4">
      <w:pPr>
        <w:spacing w:after="0" w:line="240" w:lineRule="auto"/>
        <w:rPr>
          <w:rFonts w:ascii="Calibri" w:eastAsia="Times New Roman" w:hAnsi="Calibri" w:cs="Times New Roman"/>
          <w:b/>
          <w:sz w:val="24"/>
        </w:rPr>
      </w:pPr>
    </w:p>
    <w:p w:rsidR="00DA33FD" w:rsidRDefault="00DA33FD" w:rsidP="00803FC4">
      <w:pPr>
        <w:keepNext/>
        <w:keepLines/>
        <w:spacing w:before="200" w:after="0" w:line="276" w:lineRule="auto"/>
        <w:outlineLvl w:val="1"/>
        <w:rPr>
          <w:rFonts w:ascii="Cambria" w:eastAsia="Times New Roman" w:hAnsi="Cambria" w:cs="Times New Roman"/>
          <w:b/>
          <w:bCs/>
          <w:sz w:val="32"/>
          <w:szCs w:val="26"/>
        </w:rPr>
      </w:pPr>
      <w:r>
        <w:rPr>
          <w:rFonts w:ascii="Cambria" w:eastAsia="Times New Roman" w:hAnsi="Cambria" w:cs="Times New Roman"/>
          <w:b/>
          <w:bCs/>
          <w:sz w:val="32"/>
          <w:szCs w:val="26"/>
        </w:rPr>
        <w:lastRenderedPageBreak/>
        <w:t>Use of Alcohol, Tobacco, and Prescription Drugs</w:t>
      </w:r>
    </w:p>
    <w:p w:rsid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Alcohol is the most common consumed drug across America – even more than tobacco.  It can be consumed appropriately and responsibly at certain levels for individuals; however problems occur when individuals over-consume alcohol.  These problems can include injury, unplanned pregnancy, poor birth outcomes and child development, violence, infectious diseases, and chronic diseases.  The younger a person begins drinking regularly, the greater the chance that individual will obtain alcoholism, a clinically defined alcohol disorder.  “Additionally, youth who started drinking before age 15, compared to those who waited until they were 21, were 12 times more likely to be unintentionally injured while under the influence of alcohol, seven times more likely to be in a motor vehicle crash after drinking, and 10 times more likely to have been in a physical fight after drinking.”</w:t>
      </w:r>
      <w:r w:rsidRPr="00803FC4">
        <w:rPr>
          <w:rFonts w:ascii="Calibri" w:eastAsia="Calibri" w:hAnsi="Calibri" w:cs="Times New Roman"/>
          <w:sz w:val="24"/>
          <w:vertAlign w:val="superscript"/>
        </w:rPr>
        <w:endnoteReference w:id="19"/>
      </w:r>
    </w:p>
    <w:p w:rsidR="00164890" w:rsidRPr="00803FC4" w:rsidRDefault="00164890" w:rsidP="00803FC4">
      <w:pPr>
        <w:spacing w:after="200" w:line="276" w:lineRule="auto"/>
        <w:rPr>
          <w:rFonts w:ascii="Calibri" w:eastAsia="Calibri" w:hAnsi="Calibri" w:cs="Times New Roman"/>
          <w:sz w:val="24"/>
        </w:rPr>
      </w:pPr>
    </w:p>
    <w:p w:rsid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t>Binge drinking is defined by the National Institute on Alcohol Abuse and Alcoholism as, “a pattern of drinking that brings a person’s blood alcohol concentration (BAC) to 0.08 grams percent or above.”</w:t>
      </w:r>
      <w:r w:rsidRPr="00803FC4">
        <w:rPr>
          <w:rFonts w:ascii="Calibri" w:eastAsia="Calibri" w:hAnsi="Calibri" w:cs="Times New Roman"/>
          <w:sz w:val="24"/>
          <w:vertAlign w:val="superscript"/>
        </w:rPr>
        <w:endnoteReference w:id="20"/>
      </w:r>
      <w:r w:rsidRPr="00803FC4">
        <w:rPr>
          <w:rFonts w:ascii="Calibri" w:eastAsia="Calibri" w:hAnsi="Calibri" w:cs="Times New Roman"/>
          <w:sz w:val="24"/>
        </w:rPr>
        <w:t xml:space="preserve">  Below is a chart that shows </w:t>
      </w:r>
      <w:r w:rsidR="00B8402D">
        <w:rPr>
          <w:rFonts w:ascii="Calibri" w:eastAsia="Calibri" w:hAnsi="Calibri" w:cs="Times New Roman"/>
          <w:sz w:val="24"/>
        </w:rPr>
        <w:t xml:space="preserve">the percentage of individuals who have drank alcohol in the past 30 days. This data was gathered through the SHIP survey, which was distributed to residents in the five counties in 2015. The findings indicate that over 75 percent of the </w:t>
      </w:r>
      <w:r w:rsidR="004F6A9E">
        <w:rPr>
          <w:rFonts w:ascii="Calibri" w:eastAsia="Calibri" w:hAnsi="Calibri" w:cs="Times New Roman"/>
          <w:sz w:val="24"/>
        </w:rPr>
        <w:t xml:space="preserve">population did drink </w:t>
      </w:r>
      <w:r w:rsidR="00B8402D">
        <w:rPr>
          <w:rFonts w:ascii="Calibri" w:eastAsia="Calibri" w:hAnsi="Calibri" w:cs="Times New Roman"/>
          <w:sz w:val="24"/>
        </w:rPr>
        <w:t>alcohol in the past 30 days.</w:t>
      </w:r>
    </w:p>
    <w:p w:rsidR="00164890" w:rsidRDefault="00164890" w:rsidP="00803FC4">
      <w:pPr>
        <w:spacing w:after="200" w:line="276" w:lineRule="auto"/>
        <w:rPr>
          <w:rFonts w:ascii="Calibri" w:eastAsia="Calibri" w:hAnsi="Calibri" w:cs="Times New Roman"/>
          <w:sz w:val="24"/>
        </w:rPr>
      </w:pPr>
    </w:p>
    <w:p w:rsidR="00164890" w:rsidRDefault="00164890" w:rsidP="00803FC4">
      <w:pPr>
        <w:spacing w:after="200" w:line="276" w:lineRule="auto"/>
        <w:rPr>
          <w:rFonts w:ascii="Calibri" w:eastAsia="Calibri" w:hAnsi="Calibri" w:cs="Times New Roman"/>
          <w:sz w:val="24"/>
        </w:rPr>
      </w:pPr>
    </w:p>
    <w:p w:rsidR="00683212" w:rsidRPr="00683212" w:rsidRDefault="00B8402D" w:rsidP="00803FC4">
      <w:pPr>
        <w:spacing w:after="200" w:line="276" w:lineRule="auto"/>
        <w:rPr>
          <w:rFonts w:ascii="Calibri" w:eastAsia="Calibri" w:hAnsi="Calibri" w:cs="Times New Roman"/>
          <w:b/>
          <w:i/>
          <w:sz w:val="24"/>
        </w:rPr>
      </w:pPr>
      <w:r>
        <w:rPr>
          <w:rFonts w:ascii="Calibri" w:eastAsia="Calibri" w:hAnsi="Calibri" w:cs="Times New Roman"/>
          <w:b/>
          <w:i/>
          <w:sz w:val="24"/>
        </w:rPr>
        <w:t xml:space="preserve">Percentage of Individuals who used alcohol in </w:t>
      </w:r>
      <w:r w:rsidR="00683212" w:rsidRPr="00683212">
        <w:rPr>
          <w:rFonts w:ascii="Calibri" w:eastAsia="Calibri" w:hAnsi="Calibri" w:cs="Times New Roman"/>
          <w:b/>
          <w:i/>
          <w:sz w:val="24"/>
        </w:rPr>
        <w:t>the Past 30 days</w:t>
      </w:r>
    </w:p>
    <w:p w:rsidR="00077E8C" w:rsidRPr="00164890" w:rsidRDefault="00683212" w:rsidP="00803FC4">
      <w:pPr>
        <w:spacing w:after="200" w:line="276" w:lineRule="auto"/>
        <w:rPr>
          <w:rFonts w:ascii="Calibri" w:eastAsia="Calibri" w:hAnsi="Calibri" w:cs="Times New Roman"/>
          <w:sz w:val="24"/>
        </w:rPr>
      </w:pPr>
      <w:r w:rsidRPr="00683212">
        <w:rPr>
          <w:rFonts w:ascii="Calibri" w:eastAsia="Calibri" w:hAnsi="Calibri" w:cs="Times New Roman"/>
          <w:noProof/>
          <w:sz w:val="24"/>
        </w:rPr>
        <w:drawing>
          <wp:inline distT="0" distB="0" distL="0" distR="0" wp14:anchorId="3E628691" wp14:editId="64D13267">
            <wp:extent cx="3400425" cy="27146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A14EB" w:rsidRPr="00164890" w:rsidRDefault="00077E8C" w:rsidP="00803FC4">
      <w:pPr>
        <w:spacing w:after="200" w:line="276" w:lineRule="auto"/>
        <w:rPr>
          <w:rFonts w:ascii="Calibri" w:eastAsia="Calibri" w:hAnsi="Calibri" w:cs="Times New Roman"/>
          <w:sz w:val="24"/>
        </w:rPr>
      </w:pPr>
      <w:r>
        <w:rPr>
          <w:rFonts w:ascii="Calibri" w:eastAsia="Calibri" w:hAnsi="Calibri" w:cs="Times New Roman"/>
          <w:sz w:val="24"/>
        </w:rPr>
        <w:lastRenderedPageBreak/>
        <w:t>The additional</w:t>
      </w:r>
      <w:r w:rsidR="00B8402D">
        <w:rPr>
          <w:rFonts w:ascii="Calibri" w:eastAsia="Calibri" w:hAnsi="Calibri" w:cs="Times New Roman"/>
          <w:sz w:val="24"/>
        </w:rPr>
        <w:t xml:space="preserve"> chart </w:t>
      </w:r>
      <w:r>
        <w:rPr>
          <w:rFonts w:ascii="Calibri" w:eastAsia="Calibri" w:hAnsi="Calibri" w:cs="Times New Roman"/>
          <w:sz w:val="24"/>
        </w:rPr>
        <w:t xml:space="preserve">below </w:t>
      </w:r>
      <w:r w:rsidR="00B8402D">
        <w:rPr>
          <w:rFonts w:ascii="Calibri" w:eastAsia="Calibri" w:hAnsi="Calibri" w:cs="Times New Roman"/>
          <w:sz w:val="24"/>
        </w:rPr>
        <w:t>shows the number of individuals who have been binge drinking in the past 30 days</w:t>
      </w:r>
      <w:r>
        <w:rPr>
          <w:rFonts w:ascii="Calibri" w:eastAsia="Calibri" w:hAnsi="Calibri" w:cs="Times New Roman"/>
          <w:sz w:val="24"/>
        </w:rPr>
        <w:t xml:space="preserve">, which was also distributed to a random selection of community members in all five of the counties </w:t>
      </w:r>
      <w:r w:rsidR="00B8402D">
        <w:rPr>
          <w:rFonts w:ascii="Calibri" w:eastAsia="Calibri" w:hAnsi="Calibri" w:cs="Times New Roman"/>
          <w:sz w:val="24"/>
        </w:rPr>
        <w:t xml:space="preserve">. This </w:t>
      </w:r>
      <w:r>
        <w:rPr>
          <w:rFonts w:ascii="Calibri" w:eastAsia="Calibri" w:hAnsi="Calibri" w:cs="Times New Roman"/>
          <w:sz w:val="24"/>
        </w:rPr>
        <w:t xml:space="preserve">chart </w:t>
      </w:r>
      <w:r w:rsidR="00B8402D">
        <w:rPr>
          <w:rFonts w:ascii="Calibri" w:eastAsia="Calibri" w:hAnsi="Calibri" w:cs="Times New Roman"/>
          <w:sz w:val="24"/>
        </w:rPr>
        <w:t xml:space="preserve">implies that </w:t>
      </w:r>
      <w:r w:rsidR="00762F65">
        <w:rPr>
          <w:rFonts w:ascii="Calibri" w:eastAsia="Calibri" w:hAnsi="Calibri" w:cs="Times New Roman"/>
          <w:sz w:val="24"/>
        </w:rPr>
        <w:t xml:space="preserve">over 25% of the surveyed population </w:t>
      </w:r>
      <w:r>
        <w:rPr>
          <w:rFonts w:ascii="Calibri" w:eastAsia="Calibri" w:hAnsi="Calibri" w:cs="Times New Roman"/>
          <w:sz w:val="24"/>
        </w:rPr>
        <w:t xml:space="preserve">from the SHIP survey </w:t>
      </w:r>
      <w:r w:rsidR="00B8402D">
        <w:rPr>
          <w:rFonts w:ascii="Calibri" w:eastAsia="Calibri" w:hAnsi="Calibri" w:cs="Times New Roman"/>
          <w:sz w:val="24"/>
        </w:rPr>
        <w:t xml:space="preserve">consumed four or more drinks </w:t>
      </w:r>
      <w:r w:rsidR="00FA14EB">
        <w:rPr>
          <w:rFonts w:ascii="Calibri" w:eastAsia="Calibri" w:hAnsi="Calibri" w:cs="Times New Roman"/>
          <w:sz w:val="24"/>
        </w:rPr>
        <w:t xml:space="preserve">for </w:t>
      </w:r>
      <w:r w:rsidR="00B8402D">
        <w:rPr>
          <w:rFonts w:ascii="Calibri" w:eastAsia="Calibri" w:hAnsi="Calibri" w:cs="Times New Roman"/>
          <w:sz w:val="24"/>
        </w:rPr>
        <w:t>females</w:t>
      </w:r>
      <w:r w:rsidR="00FA14EB">
        <w:rPr>
          <w:rFonts w:ascii="Calibri" w:eastAsia="Calibri" w:hAnsi="Calibri" w:cs="Times New Roman"/>
          <w:sz w:val="24"/>
        </w:rPr>
        <w:t xml:space="preserve"> and</w:t>
      </w:r>
      <w:r w:rsidR="00B8402D">
        <w:rPr>
          <w:rFonts w:ascii="Calibri" w:eastAsia="Calibri" w:hAnsi="Calibri" w:cs="Times New Roman"/>
          <w:sz w:val="24"/>
        </w:rPr>
        <w:t xml:space="preserve"> five or more drinks </w:t>
      </w:r>
      <w:r w:rsidR="00FA14EB">
        <w:rPr>
          <w:rFonts w:ascii="Calibri" w:eastAsia="Calibri" w:hAnsi="Calibri" w:cs="Times New Roman"/>
          <w:sz w:val="24"/>
        </w:rPr>
        <w:t xml:space="preserve">for </w:t>
      </w:r>
      <w:r w:rsidR="00B8402D">
        <w:rPr>
          <w:rFonts w:ascii="Calibri" w:eastAsia="Calibri" w:hAnsi="Calibri" w:cs="Times New Roman"/>
          <w:sz w:val="24"/>
        </w:rPr>
        <w:t>males on one occasion.</w:t>
      </w:r>
      <w:r w:rsidR="00762F65">
        <w:rPr>
          <w:rFonts w:ascii="Calibri" w:eastAsia="Calibri" w:hAnsi="Calibri" w:cs="Times New Roman"/>
          <w:sz w:val="24"/>
        </w:rPr>
        <w:t xml:space="preserve"> </w:t>
      </w:r>
    </w:p>
    <w:p w:rsidR="00683212" w:rsidRDefault="00B8402D" w:rsidP="00803FC4">
      <w:pPr>
        <w:spacing w:after="200" w:line="276" w:lineRule="auto"/>
        <w:rPr>
          <w:rFonts w:ascii="Calibri" w:eastAsia="Calibri" w:hAnsi="Calibri" w:cs="Times New Roman"/>
          <w:b/>
          <w:i/>
          <w:sz w:val="24"/>
        </w:rPr>
      </w:pPr>
      <w:r w:rsidRPr="00B8402D">
        <w:rPr>
          <w:rFonts w:ascii="Calibri" w:eastAsia="Calibri" w:hAnsi="Calibri" w:cs="Times New Roman"/>
          <w:b/>
          <w:i/>
          <w:sz w:val="24"/>
        </w:rPr>
        <w:t>Binge Drinking in the past 30 days</w:t>
      </w:r>
    </w:p>
    <w:p w:rsidR="00164890" w:rsidRPr="00B8402D" w:rsidRDefault="00164890" w:rsidP="00803FC4">
      <w:pPr>
        <w:spacing w:after="200" w:line="276" w:lineRule="auto"/>
        <w:rPr>
          <w:rFonts w:ascii="Calibri" w:eastAsia="Calibri" w:hAnsi="Calibri" w:cs="Times New Roman"/>
          <w:b/>
          <w:i/>
          <w:sz w:val="24"/>
        </w:rPr>
      </w:pPr>
    </w:p>
    <w:p w:rsidR="00B8402D" w:rsidRPr="00803FC4" w:rsidRDefault="00B8402D" w:rsidP="00803FC4">
      <w:pPr>
        <w:spacing w:after="200" w:line="276" w:lineRule="auto"/>
        <w:rPr>
          <w:rFonts w:ascii="Calibri" w:eastAsia="Calibri" w:hAnsi="Calibri" w:cs="Times New Roman"/>
          <w:sz w:val="24"/>
        </w:rPr>
      </w:pPr>
      <w:r w:rsidRPr="00B8402D">
        <w:rPr>
          <w:rFonts w:ascii="Calibri" w:eastAsia="Calibri" w:hAnsi="Calibri" w:cs="Times New Roman"/>
          <w:noProof/>
          <w:sz w:val="24"/>
        </w:rPr>
        <w:drawing>
          <wp:inline distT="0" distB="0" distL="0" distR="0" wp14:anchorId="48878F6E" wp14:editId="13964C06">
            <wp:extent cx="4324350" cy="280987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03FC4" w:rsidRPr="00164890" w:rsidRDefault="00803FC4" w:rsidP="00803FC4">
      <w:pPr>
        <w:spacing w:after="0" w:line="240" w:lineRule="auto"/>
        <w:rPr>
          <w:rFonts w:ascii="Calibri" w:eastAsia="Times New Roman" w:hAnsi="Calibri" w:cs="Times New Roman"/>
          <w:i/>
          <w:sz w:val="20"/>
          <w:szCs w:val="20"/>
        </w:rPr>
        <w:sectPr w:rsidR="00803FC4" w:rsidRPr="00164890" w:rsidSect="00DE094C">
          <w:headerReference w:type="default" r:id="rId45"/>
          <w:footerReference w:type="default" r:id="rId46"/>
          <w:headerReference w:type="first" r:id="rId47"/>
          <w:footnotePr>
            <w:numFmt w:val="upperLetter"/>
          </w:footnotePr>
          <w:endnotePr>
            <w:numFmt w:val="decimal"/>
          </w:endnotePr>
          <w:type w:val="continuous"/>
          <w:pgSz w:w="12240" w:h="15840"/>
          <w:pgMar w:top="1440" w:right="1440" w:bottom="1440" w:left="1440" w:header="720" w:footer="720" w:gutter="0"/>
          <w:cols w:space="720"/>
          <w:titlePg/>
          <w:docGrid w:linePitch="299"/>
        </w:sectPr>
      </w:pPr>
      <w:r w:rsidRPr="00875EF0">
        <w:rPr>
          <w:rFonts w:ascii="Calibri" w:eastAsia="Times New Roman" w:hAnsi="Calibri" w:cs="Times New Roman"/>
          <w:i/>
          <w:sz w:val="20"/>
          <w:szCs w:val="20"/>
        </w:rPr>
        <w:t xml:space="preserve">Source: </w:t>
      </w:r>
      <w:r w:rsidR="00683212" w:rsidRPr="00875EF0">
        <w:rPr>
          <w:rFonts w:ascii="Calibri" w:eastAsia="Times New Roman" w:hAnsi="Calibri" w:cs="Times New Roman"/>
          <w:i/>
          <w:sz w:val="20"/>
          <w:szCs w:val="20"/>
        </w:rPr>
        <w:t>Horizon Public Health SHIP Survey, 2015</w:t>
      </w:r>
    </w:p>
    <w:p w:rsidR="00803FC4" w:rsidRPr="00803FC4" w:rsidRDefault="00803FC4" w:rsidP="00803FC4">
      <w:pPr>
        <w:spacing w:after="200" w:line="276" w:lineRule="auto"/>
        <w:rPr>
          <w:rFonts w:ascii="Calibri" w:eastAsia="Calibri" w:hAnsi="Calibri" w:cs="Times New Roman"/>
          <w:sz w:val="24"/>
        </w:rPr>
      </w:pPr>
      <w:r w:rsidRPr="00803FC4">
        <w:rPr>
          <w:rFonts w:ascii="Calibri" w:eastAsia="Calibri" w:hAnsi="Calibri" w:cs="Times New Roman"/>
          <w:sz w:val="24"/>
        </w:rPr>
        <w:lastRenderedPageBreak/>
        <w:t>Smoking and tobacco use are the single greatest preventable cause of death in the United States.  Over 440,000 people die each year from smoking.</w:t>
      </w:r>
      <w:r w:rsidRPr="00803FC4">
        <w:rPr>
          <w:rFonts w:ascii="Calibri" w:eastAsia="Calibri" w:hAnsi="Calibri" w:cs="Times New Roman"/>
          <w:sz w:val="24"/>
          <w:vertAlign w:val="superscript"/>
        </w:rPr>
        <w:endnoteReference w:id="21"/>
      </w:r>
      <w:r w:rsidRPr="00803FC4">
        <w:rPr>
          <w:rFonts w:ascii="Calibri" w:eastAsia="Calibri" w:hAnsi="Calibri" w:cs="Times New Roman"/>
          <w:sz w:val="24"/>
        </w:rPr>
        <w:t xml:space="preserve">  Below is a chart that shows the percent of adult smokers for </w:t>
      </w:r>
      <w:r w:rsidR="00341B4E">
        <w:rPr>
          <w:rFonts w:ascii="Calibri" w:eastAsia="Calibri" w:hAnsi="Calibri" w:cs="Times New Roman"/>
          <w:sz w:val="24"/>
        </w:rPr>
        <w:t>the</w:t>
      </w:r>
      <w:r w:rsidRPr="00803FC4">
        <w:rPr>
          <w:rFonts w:ascii="Calibri" w:eastAsia="Calibri" w:hAnsi="Calibri" w:cs="Times New Roman"/>
          <w:sz w:val="24"/>
        </w:rPr>
        <w:t xml:space="preserve"> Horizon Community Hea</w:t>
      </w:r>
      <w:r w:rsidR="006C13D9">
        <w:rPr>
          <w:rFonts w:ascii="Calibri" w:eastAsia="Calibri" w:hAnsi="Calibri" w:cs="Times New Roman"/>
          <w:sz w:val="24"/>
        </w:rPr>
        <w:t xml:space="preserve">lth </w:t>
      </w:r>
      <w:r w:rsidR="00A35A1C">
        <w:rPr>
          <w:rFonts w:ascii="Calibri" w:eastAsia="Calibri" w:hAnsi="Calibri" w:cs="Times New Roman"/>
          <w:sz w:val="24"/>
        </w:rPr>
        <w:t>Board area</w:t>
      </w:r>
      <w:r w:rsidR="006C13D9">
        <w:rPr>
          <w:rFonts w:ascii="Calibri" w:eastAsia="Calibri" w:hAnsi="Calibri" w:cs="Times New Roman"/>
          <w:sz w:val="24"/>
        </w:rPr>
        <w:t xml:space="preserve"> from the SHIP survey completed in 2015.  When these are broken down by county, Traverse County had the highest rates at 13.4% of the surveyed population, while Grant County had the lowest smoking rates at 7.5%. These rates all sit below the 16% Minnesota average in comparison to the 2015 year.</w:t>
      </w:r>
    </w:p>
    <w:p w:rsidR="00875EF0" w:rsidRDefault="00875EF0" w:rsidP="00803FC4">
      <w:pPr>
        <w:spacing w:after="0" w:line="240" w:lineRule="auto"/>
        <w:rPr>
          <w:rFonts w:ascii="Calibri" w:eastAsia="Times New Roman" w:hAnsi="Calibri" w:cs="Times New Roman"/>
          <w:b/>
          <w:i/>
          <w:sz w:val="24"/>
        </w:rPr>
      </w:pPr>
    </w:p>
    <w:p w:rsidR="00803FC4" w:rsidRPr="00877F61" w:rsidRDefault="00FA14EB" w:rsidP="00803FC4">
      <w:pPr>
        <w:spacing w:after="0" w:line="240" w:lineRule="auto"/>
        <w:rPr>
          <w:rFonts w:ascii="Calibri" w:eastAsia="Times New Roman" w:hAnsi="Calibri" w:cs="Times New Roman"/>
          <w:b/>
          <w:i/>
          <w:sz w:val="24"/>
        </w:rPr>
      </w:pPr>
      <w:r w:rsidRPr="00877F61">
        <w:rPr>
          <w:rFonts w:ascii="Calibri" w:eastAsia="Times New Roman" w:hAnsi="Calibri" w:cs="Times New Roman"/>
          <w:b/>
          <w:i/>
          <w:sz w:val="24"/>
        </w:rPr>
        <w:t xml:space="preserve">Current Tobacco Use </w:t>
      </w:r>
      <w:r w:rsidR="004F6A9E" w:rsidRPr="00877F61">
        <w:rPr>
          <w:rFonts w:ascii="Calibri" w:eastAsia="Times New Roman" w:hAnsi="Calibri" w:cs="Times New Roman"/>
          <w:b/>
          <w:i/>
          <w:sz w:val="24"/>
        </w:rPr>
        <w:t>among</w:t>
      </w:r>
      <w:r w:rsidRPr="00877F61">
        <w:rPr>
          <w:rFonts w:ascii="Calibri" w:eastAsia="Times New Roman" w:hAnsi="Calibri" w:cs="Times New Roman"/>
          <w:b/>
          <w:i/>
          <w:sz w:val="24"/>
        </w:rPr>
        <w:t xml:space="preserve"> Adults</w:t>
      </w:r>
    </w:p>
    <w:p w:rsidR="00FA14EB" w:rsidRDefault="00FA14EB" w:rsidP="00803FC4">
      <w:pPr>
        <w:spacing w:after="0" w:line="240" w:lineRule="auto"/>
        <w:rPr>
          <w:rFonts w:ascii="Calibri" w:eastAsia="Times New Roman" w:hAnsi="Calibri" w:cs="Times New Roman"/>
          <w:b/>
          <w:sz w:val="24"/>
        </w:rPr>
      </w:pPr>
      <w:r w:rsidRPr="00FA14EB">
        <w:rPr>
          <w:rFonts w:ascii="Calibri" w:eastAsia="Times New Roman" w:hAnsi="Calibri" w:cs="Times New Roman"/>
          <w:b/>
          <w:noProof/>
          <w:sz w:val="24"/>
        </w:rPr>
        <w:drawing>
          <wp:inline distT="0" distB="0" distL="0" distR="0" wp14:anchorId="07EF4C96" wp14:editId="0259D822">
            <wp:extent cx="5276850" cy="23907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A14EB" w:rsidRPr="00875EF0" w:rsidRDefault="00FA14EB" w:rsidP="00803FC4">
      <w:pPr>
        <w:spacing w:after="0" w:line="240" w:lineRule="auto"/>
        <w:rPr>
          <w:rFonts w:ascii="Calibri" w:eastAsia="Times New Roman" w:hAnsi="Calibri" w:cs="Times New Roman"/>
          <w:i/>
          <w:sz w:val="20"/>
          <w:szCs w:val="20"/>
        </w:rPr>
      </w:pPr>
      <w:r w:rsidRPr="00875EF0">
        <w:rPr>
          <w:rFonts w:ascii="Calibri" w:eastAsia="Times New Roman" w:hAnsi="Calibri" w:cs="Times New Roman"/>
          <w:i/>
          <w:sz w:val="20"/>
          <w:szCs w:val="20"/>
        </w:rPr>
        <w:t>Source: SHIP Survey, 2015</w:t>
      </w:r>
    </w:p>
    <w:p w:rsidR="00DA33FD" w:rsidRDefault="00DA33FD" w:rsidP="00803FC4">
      <w:pPr>
        <w:spacing w:after="200" w:line="276" w:lineRule="auto"/>
        <w:rPr>
          <w:rFonts w:ascii="Calibri" w:eastAsia="Calibri" w:hAnsi="Calibri" w:cs="Times New Roman"/>
          <w:i/>
          <w:sz w:val="24"/>
        </w:rPr>
      </w:pPr>
    </w:p>
    <w:p w:rsidR="00877F61" w:rsidRDefault="00877F61" w:rsidP="00877F61">
      <w:pPr>
        <w:spacing w:after="200" w:line="276" w:lineRule="auto"/>
        <w:rPr>
          <w:rFonts w:ascii="Cambria" w:eastAsia="Calibri" w:hAnsi="Cambria" w:cs="Times New Roman"/>
          <w:b/>
          <w:sz w:val="32"/>
          <w:szCs w:val="32"/>
        </w:rPr>
      </w:pPr>
      <w:r w:rsidRPr="00877F61">
        <w:rPr>
          <w:rFonts w:ascii="Cambria" w:eastAsia="Calibri" w:hAnsi="Cambria" w:cs="Times New Roman"/>
          <w:b/>
          <w:sz w:val="32"/>
          <w:szCs w:val="32"/>
        </w:rPr>
        <w:t>Prescription Drug Use</w:t>
      </w:r>
    </w:p>
    <w:p w:rsidR="00DA33FD" w:rsidRDefault="00DA33FD" w:rsidP="00877F61">
      <w:pPr>
        <w:spacing w:after="200" w:line="276" w:lineRule="auto"/>
        <w:rPr>
          <w:sz w:val="24"/>
          <w:szCs w:val="24"/>
        </w:rPr>
      </w:pPr>
      <w:r>
        <w:rPr>
          <w:sz w:val="24"/>
          <w:szCs w:val="24"/>
        </w:rPr>
        <w:t xml:space="preserve">A growing concern in Minnesota and nationwide is the rising rates of improper prescription use. As a result of these rates, there </w:t>
      </w:r>
      <w:r w:rsidR="004F6A9E">
        <w:rPr>
          <w:sz w:val="24"/>
          <w:szCs w:val="24"/>
        </w:rPr>
        <w:t>are</w:t>
      </w:r>
      <w:r>
        <w:rPr>
          <w:sz w:val="24"/>
          <w:szCs w:val="24"/>
        </w:rPr>
        <w:t xml:space="preserve"> an increased number of accidental overdoses of prescription drugs and painkillers. </w:t>
      </w:r>
    </w:p>
    <w:p w:rsidR="00CD1A67" w:rsidRDefault="00CD1A67" w:rsidP="00877F61">
      <w:pPr>
        <w:spacing w:after="200" w:line="276" w:lineRule="auto"/>
        <w:rPr>
          <w:sz w:val="24"/>
          <w:szCs w:val="24"/>
        </w:rPr>
      </w:pPr>
      <w:r>
        <w:rPr>
          <w:sz w:val="24"/>
          <w:szCs w:val="24"/>
        </w:rPr>
        <w:t>Through key informant interviews with two of the law enforcement departments and one hospital ER department within the five counties, prescription drug use was discussed and the growing issue this has become. Many youth are finding prescription drugs as a source of income, where they are selling their prescription pills to others, or they are stealing f</w:t>
      </w:r>
      <w:r w:rsidR="00077E8C">
        <w:rPr>
          <w:sz w:val="24"/>
          <w:szCs w:val="24"/>
        </w:rPr>
        <w:t>rom family or friends as a form of</w:t>
      </w:r>
      <w:r>
        <w:rPr>
          <w:sz w:val="24"/>
          <w:szCs w:val="24"/>
        </w:rPr>
        <w:t xml:space="preserve"> income. Additionally, of the substance and chemical abuse and misuse that is occurring, law enforcement indicated that prescription pills, along with meth, are the top two issues they are seeing within the Horizon CHB area.</w:t>
      </w:r>
      <w:r w:rsidR="00FE5918">
        <w:rPr>
          <w:sz w:val="24"/>
          <w:szCs w:val="24"/>
        </w:rPr>
        <w:t xml:space="preserve"> </w:t>
      </w:r>
      <w:r w:rsidR="00077E8C">
        <w:rPr>
          <w:sz w:val="24"/>
          <w:szCs w:val="24"/>
        </w:rPr>
        <w:t xml:space="preserve"> Knowing this information, i</w:t>
      </w:r>
      <w:r>
        <w:rPr>
          <w:sz w:val="24"/>
          <w:szCs w:val="24"/>
        </w:rPr>
        <w:t>t is important that the local public health system be consciously aware of these conditions and work towards health in all policies to address these growing issues.</w:t>
      </w:r>
    </w:p>
    <w:p w:rsidR="00AD38D3" w:rsidRPr="00877F61" w:rsidRDefault="00AD38D3" w:rsidP="00877F61">
      <w:pPr>
        <w:spacing w:after="200" w:line="276" w:lineRule="auto"/>
        <w:rPr>
          <w:rFonts w:ascii="Cambria" w:eastAsia="Calibri" w:hAnsi="Cambria" w:cs="Times New Roman"/>
          <w:b/>
          <w:sz w:val="32"/>
          <w:szCs w:val="32"/>
        </w:rPr>
      </w:pPr>
    </w:p>
    <w:p w:rsidR="00803FC4" w:rsidRPr="00F00FD8" w:rsidRDefault="00803FC4" w:rsidP="00F00FD8">
      <w:pPr>
        <w:spacing w:after="200" w:line="276" w:lineRule="auto"/>
        <w:rPr>
          <w:rFonts w:ascii="Calibri" w:eastAsia="Calibri" w:hAnsi="Calibri" w:cs="Times New Roman"/>
          <w:b/>
          <w:sz w:val="24"/>
        </w:rPr>
      </w:pPr>
      <w:r w:rsidRPr="00803FC4">
        <w:rPr>
          <w:rFonts w:ascii="Cambria" w:eastAsia="Times New Roman" w:hAnsi="Cambria" w:cs="Times New Roman"/>
          <w:b/>
          <w:bCs/>
          <w:sz w:val="32"/>
          <w:szCs w:val="26"/>
        </w:rPr>
        <w:lastRenderedPageBreak/>
        <w:t>Promoting Mental Health</w:t>
      </w:r>
    </w:p>
    <w:p w:rsidR="00E35A52" w:rsidRDefault="00E35A52" w:rsidP="00AD38D3">
      <w:pPr>
        <w:spacing w:line="276" w:lineRule="auto"/>
        <w:rPr>
          <w:sz w:val="24"/>
          <w:szCs w:val="24"/>
        </w:rPr>
      </w:pPr>
      <w:r w:rsidRPr="00055CA3">
        <w:rPr>
          <w:sz w:val="24"/>
          <w:szCs w:val="24"/>
        </w:rPr>
        <w:t>When a person experiences mental or emotional health issues, it can affect his or her everyday functioning. Mental and emotional health struggles can place significant strains on relationships, affect the ability to work, and lead to self-harm. Depression and anxiety can affect a person’s ability to participate in health-promoting activities, such as physical activity, and can also disrupt connections to helpful social supports.</w:t>
      </w:r>
    </w:p>
    <w:p w:rsidR="00E35A52" w:rsidRDefault="00E35A52" w:rsidP="00AD38D3">
      <w:pPr>
        <w:spacing w:line="276" w:lineRule="auto"/>
        <w:rPr>
          <w:sz w:val="24"/>
          <w:szCs w:val="24"/>
        </w:rPr>
      </w:pPr>
      <w:r>
        <w:rPr>
          <w:sz w:val="24"/>
          <w:szCs w:val="24"/>
        </w:rPr>
        <w:t>Adolescents who experience emotional distress can have a decreased ability to develop, learn, and make decisions. In Minnesota, reports indicate that American Indian and Hispanic students experience higher levels of stress than their peers. Additionally, females report higher rates of emotional stress across all races and ethnic groups in comparison to their male counterparts.</w:t>
      </w:r>
    </w:p>
    <w:p w:rsidR="007F63BF" w:rsidRPr="007F63BF" w:rsidRDefault="00022FBD" w:rsidP="00AD38D3">
      <w:pPr>
        <w:spacing w:line="276" w:lineRule="auto"/>
        <w:rPr>
          <w:sz w:val="24"/>
          <w:szCs w:val="24"/>
        </w:rPr>
      </w:pPr>
      <w:r>
        <w:rPr>
          <w:sz w:val="24"/>
          <w:szCs w:val="24"/>
        </w:rPr>
        <w:t>I</w:t>
      </w:r>
      <w:r w:rsidR="00640226">
        <w:rPr>
          <w:sz w:val="24"/>
          <w:szCs w:val="24"/>
        </w:rPr>
        <w:t xml:space="preserve">t is important for youth and adults to have </w:t>
      </w:r>
      <w:r w:rsidR="00490852">
        <w:rPr>
          <w:sz w:val="24"/>
          <w:szCs w:val="24"/>
        </w:rPr>
        <w:t xml:space="preserve">a </w:t>
      </w:r>
      <w:r w:rsidR="00640226">
        <w:rPr>
          <w:sz w:val="24"/>
          <w:szCs w:val="24"/>
        </w:rPr>
        <w:t xml:space="preserve">positive </w:t>
      </w:r>
      <w:r w:rsidR="00490852">
        <w:rPr>
          <w:sz w:val="24"/>
          <w:szCs w:val="24"/>
        </w:rPr>
        <w:t xml:space="preserve">mental health and well-being. </w:t>
      </w:r>
      <w:r w:rsidR="00640226">
        <w:rPr>
          <w:sz w:val="24"/>
          <w:szCs w:val="24"/>
        </w:rPr>
        <w:t>This can occur through social interactions, parent-child relationships, access to resources, as well as early identification and treatment.</w:t>
      </w:r>
    </w:p>
    <w:p w:rsidR="00AD38D3" w:rsidRDefault="007F63BF" w:rsidP="00AD38D3">
      <w:pPr>
        <w:spacing w:after="200" w:line="276" w:lineRule="auto"/>
        <w:rPr>
          <w:rFonts w:ascii="Calibri" w:eastAsia="Calibri" w:hAnsi="Calibri" w:cs="Times New Roman"/>
          <w:sz w:val="24"/>
          <w:szCs w:val="24"/>
        </w:rPr>
      </w:pPr>
      <w:r w:rsidRPr="000941FF">
        <w:rPr>
          <w:rFonts w:ascii="Calibri" w:eastAsia="Calibri" w:hAnsi="Calibri" w:cs="Times New Roman"/>
          <w:sz w:val="24"/>
          <w:szCs w:val="24"/>
        </w:rPr>
        <w:t>Within the</w:t>
      </w:r>
      <w:r w:rsidR="000941FF" w:rsidRPr="000941FF">
        <w:rPr>
          <w:rFonts w:ascii="Calibri" w:eastAsia="Calibri" w:hAnsi="Calibri" w:cs="Times New Roman"/>
          <w:sz w:val="24"/>
          <w:szCs w:val="24"/>
        </w:rPr>
        <w:t xml:space="preserve"> Horizon</w:t>
      </w:r>
      <w:r w:rsidRPr="000941FF">
        <w:rPr>
          <w:rFonts w:ascii="Calibri" w:eastAsia="Calibri" w:hAnsi="Calibri" w:cs="Times New Roman"/>
          <w:sz w:val="24"/>
          <w:szCs w:val="24"/>
        </w:rPr>
        <w:t xml:space="preserve"> </w:t>
      </w:r>
      <w:r w:rsidR="00187080" w:rsidRPr="000941FF">
        <w:rPr>
          <w:rFonts w:ascii="Calibri" w:eastAsia="Calibri" w:hAnsi="Calibri" w:cs="Times New Roman"/>
          <w:sz w:val="24"/>
          <w:szCs w:val="24"/>
        </w:rPr>
        <w:t>CHB service area</w:t>
      </w:r>
      <w:r w:rsidRPr="000941FF">
        <w:rPr>
          <w:rFonts w:ascii="Calibri" w:eastAsia="Calibri" w:hAnsi="Calibri" w:cs="Times New Roman"/>
          <w:sz w:val="24"/>
          <w:szCs w:val="24"/>
        </w:rPr>
        <w:t xml:space="preserve">, there is </w:t>
      </w:r>
      <w:r w:rsidR="004F6A9E" w:rsidRPr="000941FF">
        <w:rPr>
          <w:rFonts w:ascii="Calibri" w:eastAsia="Calibri" w:hAnsi="Calibri" w:cs="Times New Roman"/>
          <w:sz w:val="24"/>
          <w:szCs w:val="24"/>
        </w:rPr>
        <w:t>a mental</w:t>
      </w:r>
      <w:r w:rsidRPr="000941FF">
        <w:rPr>
          <w:rFonts w:ascii="Calibri" w:eastAsia="Calibri" w:hAnsi="Calibri" w:cs="Times New Roman"/>
          <w:sz w:val="24"/>
          <w:szCs w:val="24"/>
        </w:rPr>
        <w:t xml:space="preserve"> health consortium group known as “Conversations.” This group is comprised of many different stakeholders including individuals receiving mental health services, mental health providers, and case managers. Through the utilization and participation of an open forum with this group, there were several key challenges noted within the region regarding mental health awareness and services. Some of these identified barriers included: transportation, housing, community awareness and understanding of mental health and mental illness, lack of providers and access to treatment, as well as the need </w:t>
      </w:r>
      <w:r w:rsidR="0016639F" w:rsidRPr="000941FF">
        <w:rPr>
          <w:rFonts w:ascii="Calibri" w:eastAsia="Calibri" w:hAnsi="Calibri" w:cs="Times New Roman"/>
          <w:sz w:val="24"/>
          <w:szCs w:val="24"/>
        </w:rPr>
        <w:t xml:space="preserve">for </w:t>
      </w:r>
      <w:r w:rsidRPr="000941FF">
        <w:rPr>
          <w:rFonts w:ascii="Calibri" w:eastAsia="Calibri" w:hAnsi="Calibri" w:cs="Times New Roman"/>
          <w:sz w:val="24"/>
          <w:szCs w:val="24"/>
        </w:rPr>
        <w:t xml:space="preserve">children and families to be able to talk openly about mental health and mental illness to improve </w:t>
      </w:r>
      <w:r w:rsidR="00187080" w:rsidRPr="000941FF">
        <w:rPr>
          <w:rFonts w:ascii="Calibri" w:eastAsia="Calibri" w:hAnsi="Calibri" w:cs="Times New Roman"/>
          <w:sz w:val="24"/>
          <w:szCs w:val="24"/>
        </w:rPr>
        <w:t>overall understanding and acceptance.</w:t>
      </w:r>
      <w:r w:rsidRPr="000941FF">
        <w:rPr>
          <w:rFonts w:ascii="Calibri" w:eastAsia="Calibri" w:hAnsi="Calibri" w:cs="Times New Roman"/>
          <w:sz w:val="24"/>
          <w:szCs w:val="24"/>
        </w:rPr>
        <w:t xml:space="preserve"> </w:t>
      </w:r>
    </w:p>
    <w:p w:rsidR="002066EC" w:rsidRPr="00A76D96" w:rsidRDefault="007F63BF" w:rsidP="00AD38D3">
      <w:pPr>
        <w:spacing w:line="276" w:lineRule="auto"/>
        <w:rPr>
          <w:sz w:val="24"/>
          <w:szCs w:val="24"/>
        </w:rPr>
      </w:pPr>
      <w:r>
        <w:rPr>
          <w:sz w:val="24"/>
          <w:szCs w:val="24"/>
        </w:rPr>
        <w:t>The chart below demonstrates</w:t>
      </w:r>
      <w:r w:rsidR="00640226">
        <w:rPr>
          <w:sz w:val="24"/>
          <w:szCs w:val="24"/>
        </w:rPr>
        <w:t xml:space="preserve"> the ratio of mental health providers to patients by county and in Minnesota. All counties within the Horizon </w:t>
      </w:r>
      <w:r w:rsidR="00187080">
        <w:rPr>
          <w:sz w:val="24"/>
          <w:szCs w:val="24"/>
        </w:rPr>
        <w:t>CHB service area</w:t>
      </w:r>
      <w:r w:rsidR="00640226">
        <w:rPr>
          <w:sz w:val="24"/>
          <w:szCs w:val="24"/>
        </w:rPr>
        <w:t xml:space="preserve"> sit belo</w:t>
      </w:r>
      <w:r w:rsidR="00CD1A67">
        <w:rPr>
          <w:sz w:val="24"/>
          <w:szCs w:val="24"/>
        </w:rPr>
        <w:t>w the Minnesota average of 490 patients to one mental health provider</w:t>
      </w:r>
      <w:r w:rsidR="00640226">
        <w:rPr>
          <w:sz w:val="24"/>
          <w:szCs w:val="24"/>
        </w:rPr>
        <w:t xml:space="preserve">. </w:t>
      </w:r>
      <w:r w:rsidR="00022FBD">
        <w:rPr>
          <w:sz w:val="24"/>
          <w:szCs w:val="24"/>
        </w:rPr>
        <w:t>Conversations have indicated that wait times between identified need of mental health services and</w:t>
      </w:r>
      <w:r w:rsidR="00CD1A67">
        <w:rPr>
          <w:sz w:val="24"/>
          <w:szCs w:val="24"/>
        </w:rPr>
        <w:t xml:space="preserve"> time they are actually seen can be many months out. This delays adequate treatment from</w:t>
      </w:r>
      <w:r w:rsidR="009E19D9">
        <w:rPr>
          <w:sz w:val="24"/>
          <w:szCs w:val="24"/>
        </w:rPr>
        <w:t xml:space="preserve"> initial symptoms or diagnosis.</w:t>
      </w:r>
    </w:p>
    <w:p w:rsidR="00AD38D3" w:rsidRDefault="00AD38D3"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9E19D9" w:rsidRDefault="009E19D9" w:rsidP="005D64FE">
      <w:pPr>
        <w:spacing w:after="0" w:line="240" w:lineRule="auto"/>
        <w:rPr>
          <w:rFonts w:ascii="Calibri" w:eastAsia="Times New Roman" w:hAnsi="Calibri" w:cs="Times New Roman"/>
          <w:b/>
          <w:i/>
          <w:sz w:val="24"/>
          <w:szCs w:val="24"/>
        </w:rPr>
      </w:pPr>
    </w:p>
    <w:p w:rsidR="005D64FE" w:rsidRPr="00DD2584" w:rsidRDefault="005D64FE" w:rsidP="005D64FE">
      <w:pPr>
        <w:spacing w:after="0" w:line="240" w:lineRule="auto"/>
        <w:rPr>
          <w:rFonts w:ascii="Calibri" w:eastAsia="Times New Roman" w:hAnsi="Calibri" w:cs="Times New Roman"/>
          <w:b/>
          <w:i/>
          <w:sz w:val="24"/>
          <w:szCs w:val="24"/>
        </w:rPr>
      </w:pPr>
      <w:r w:rsidRPr="00DD2584">
        <w:rPr>
          <w:rFonts w:ascii="Calibri" w:eastAsia="Times New Roman" w:hAnsi="Calibri" w:cs="Times New Roman"/>
          <w:b/>
          <w:i/>
          <w:sz w:val="24"/>
          <w:szCs w:val="24"/>
        </w:rPr>
        <w:lastRenderedPageBreak/>
        <w:t>Mental Health Providers in Minnesota, 2013</w:t>
      </w:r>
    </w:p>
    <w:p w:rsidR="005D64FE" w:rsidRDefault="005D64FE" w:rsidP="005D64FE">
      <w:pPr>
        <w:spacing w:after="0" w:line="240" w:lineRule="auto"/>
        <w:rPr>
          <w:rFonts w:ascii="Calibri" w:eastAsia="Times New Roman" w:hAnsi="Calibri" w:cs="Times New Roman"/>
          <w:sz w:val="24"/>
          <w:szCs w:val="24"/>
        </w:rPr>
      </w:pPr>
    </w:p>
    <w:tbl>
      <w:tblPr>
        <w:tblStyle w:val="TableGrid"/>
        <w:tblpPr w:leftFromText="180" w:rightFromText="180" w:vertAnchor="text" w:horzAnchor="margin" w:tblpY="-74"/>
        <w:tblW w:w="0" w:type="auto"/>
        <w:tblInd w:w="0" w:type="dxa"/>
        <w:tblLook w:val="04A0" w:firstRow="1" w:lastRow="0" w:firstColumn="1" w:lastColumn="0" w:noHBand="0" w:noVBand="1"/>
      </w:tblPr>
      <w:tblGrid>
        <w:gridCol w:w="1177"/>
        <w:gridCol w:w="2519"/>
      </w:tblGrid>
      <w:tr w:rsidR="005D64FE" w:rsidRPr="00803FC4" w:rsidTr="002066EC">
        <w:trPr>
          <w:trHeight w:val="844"/>
        </w:trPr>
        <w:tc>
          <w:tcPr>
            <w:tcW w:w="968" w:type="dxa"/>
            <w:tcBorders>
              <w:top w:val="single" w:sz="4" w:space="0" w:color="auto"/>
              <w:left w:val="single" w:sz="4" w:space="0" w:color="auto"/>
              <w:bottom w:val="single" w:sz="4" w:space="0" w:color="auto"/>
              <w:right w:val="single" w:sz="4" w:space="0" w:color="auto"/>
            </w:tcBorders>
            <w:vAlign w:val="bottom"/>
          </w:tcPr>
          <w:p w:rsidR="005D64FE" w:rsidRPr="00803FC4" w:rsidRDefault="005D64FE" w:rsidP="006500AF">
            <w:pPr>
              <w:rPr>
                <w:rFonts w:eastAsia="Times New Roman"/>
              </w:rPr>
            </w:pPr>
          </w:p>
        </w:tc>
        <w:tc>
          <w:tcPr>
            <w:tcW w:w="2519" w:type="dxa"/>
            <w:tcBorders>
              <w:top w:val="single" w:sz="4" w:space="0" w:color="auto"/>
              <w:left w:val="single" w:sz="4" w:space="0" w:color="auto"/>
              <w:bottom w:val="single" w:sz="4" w:space="0" w:color="auto"/>
              <w:right w:val="single" w:sz="4" w:space="0" w:color="auto"/>
            </w:tcBorders>
            <w:vAlign w:val="bottom"/>
            <w:hideMark/>
          </w:tcPr>
          <w:p w:rsidR="005D64FE" w:rsidRPr="00803FC4" w:rsidRDefault="005D64FE" w:rsidP="006500AF">
            <w:pPr>
              <w:jc w:val="center"/>
              <w:rPr>
                <w:rFonts w:eastAsia="Times New Roman"/>
              </w:rPr>
            </w:pPr>
            <w:r>
              <w:rPr>
                <w:rFonts w:eastAsia="Times New Roman"/>
              </w:rPr>
              <w:t>Patient to Mental Health Provider ratio</w:t>
            </w:r>
            <w:r w:rsidR="00A76D96">
              <w:rPr>
                <w:rFonts w:eastAsia="Times New Roman"/>
              </w:rPr>
              <w:t xml:space="preserve"> by County</w:t>
            </w:r>
          </w:p>
        </w:tc>
      </w:tr>
      <w:tr w:rsidR="005D64FE" w:rsidRPr="00803FC4" w:rsidTr="002066EC">
        <w:trPr>
          <w:trHeight w:val="286"/>
        </w:trPr>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rPr>
                <w:rFonts w:eastAsia="Times New Roman"/>
              </w:rPr>
            </w:pPr>
            <w:r w:rsidRPr="00803FC4">
              <w:rPr>
                <w:rFonts w:eastAsia="Times New Roman"/>
              </w:rPr>
              <w:t>Douglas</w:t>
            </w:r>
          </w:p>
        </w:tc>
        <w:tc>
          <w:tcPr>
            <w:tcW w:w="251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jc w:val="center"/>
              <w:rPr>
                <w:rFonts w:eastAsia="Times New Roman"/>
              </w:rPr>
            </w:pPr>
            <w:r>
              <w:rPr>
                <w:rFonts w:eastAsia="Times New Roman"/>
              </w:rPr>
              <w:t>670:1</w:t>
            </w:r>
          </w:p>
        </w:tc>
      </w:tr>
      <w:tr w:rsidR="005D64FE" w:rsidRPr="00803FC4" w:rsidTr="002066EC">
        <w:trPr>
          <w:trHeight w:val="270"/>
        </w:trPr>
        <w:tc>
          <w:tcPr>
            <w:tcW w:w="968" w:type="dxa"/>
            <w:tcBorders>
              <w:top w:val="single" w:sz="4" w:space="0" w:color="auto"/>
              <w:left w:val="single" w:sz="4" w:space="0" w:color="auto"/>
              <w:bottom w:val="single" w:sz="4" w:space="0" w:color="auto"/>
              <w:right w:val="single" w:sz="4" w:space="0" w:color="auto"/>
            </w:tcBorders>
            <w:vAlign w:val="center"/>
            <w:hideMark/>
          </w:tcPr>
          <w:p w:rsidR="005D64FE" w:rsidRPr="00803FC4" w:rsidRDefault="005D64FE" w:rsidP="006500AF">
            <w:pPr>
              <w:rPr>
                <w:rFonts w:eastAsia="Times New Roman"/>
              </w:rPr>
            </w:pPr>
            <w:r w:rsidRPr="00803FC4">
              <w:rPr>
                <w:rFonts w:eastAsia="Times New Roman"/>
              </w:rPr>
              <w:t>Grant</w:t>
            </w:r>
          </w:p>
        </w:tc>
        <w:tc>
          <w:tcPr>
            <w:tcW w:w="2519" w:type="dxa"/>
            <w:tcBorders>
              <w:top w:val="single" w:sz="4" w:space="0" w:color="auto"/>
              <w:left w:val="single" w:sz="4" w:space="0" w:color="auto"/>
              <w:bottom w:val="single" w:sz="4" w:space="0" w:color="auto"/>
              <w:right w:val="single" w:sz="4" w:space="0" w:color="auto"/>
            </w:tcBorders>
            <w:vAlign w:val="center"/>
            <w:hideMark/>
          </w:tcPr>
          <w:p w:rsidR="005D64FE" w:rsidRPr="00803FC4" w:rsidRDefault="005D64FE" w:rsidP="006500AF">
            <w:pPr>
              <w:jc w:val="center"/>
              <w:rPr>
                <w:rFonts w:eastAsia="Times New Roman"/>
              </w:rPr>
            </w:pPr>
            <w:r>
              <w:rPr>
                <w:rFonts w:eastAsia="Times New Roman"/>
              </w:rPr>
              <w:t>5,960:1</w:t>
            </w:r>
          </w:p>
        </w:tc>
      </w:tr>
      <w:tr w:rsidR="005D64FE" w:rsidRPr="00803FC4" w:rsidTr="002066EC">
        <w:trPr>
          <w:trHeight w:val="286"/>
        </w:trPr>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rPr>
                <w:rFonts w:eastAsia="Times New Roman"/>
              </w:rPr>
            </w:pPr>
            <w:r w:rsidRPr="00803FC4">
              <w:rPr>
                <w:rFonts w:eastAsia="Times New Roman"/>
              </w:rPr>
              <w:t>Pope</w:t>
            </w:r>
          </w:p>
        </w:tc>
        <w:tc>
          <w:tcPr>
            <w:tcW w:w="251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jc w:val="center"/>
              <w:rPr>
                <w:rFonts w:eastAsia="Times New Roman"/>
              </w:rPr>
            </w:pPr>
            <w:r>
              <w:rPr>
                <w:rFonts w:eastAsia="Times New Roman"/>
              </w:rPr>
              <w:t>1,570:1</w:t>
            </w:r>
          </w:p>
        </w:tc>
      </w:tr>
      <w:tr w:rsidR="005D64FE" w:rsidRPr="00803FC4" w:rsidTr="002066EC">
        <w:trPr>
          <w:trHeight w:val="286"/>
        </w:trPr>
        <w:tc>
          <w:tcPr>
            <w:tcW w:w="968" w:type="dxa"/>
            <w:tcBorders>
              <w:top w:val="single" w:sz="4" w:space="0" w:color="auto"/>
              <w:left w:val="single" w:sz="4" w:space="0" w:color="auto"/>
              <w:bottom w:val="single" w:sz="4" w:space="0" w:color="auto"/>
              <w:right w:val="single" w:sz="4" w:space="0" w:color="auto"/>
            </w:tcBorders>
            <w:vAlign w:val="center"/>
            <w:hideMark/>
          </w:tcPr>
          <w:p w:rsidR="005D64FE" w:rsidRPr="00803FC4" w:rsidRDefault="005D64FE" w:rsidP="006500AF">
            <w:pPr>
              <w:rPr>
                <w:rFonts w:eastAsia="Times New Roman"/>
              </w:rPr>
            </w:pPr>
            <w:r w:rsidRPr="00803FC4">
              <w:rPr>
                <w:rFonts w:eastAsia="Times New Roman"/>
              </w:rPr>
              <w:t>Stevens</w:t>
            </w:r>
          </w:p>
        </w:tc>
        <w:tc>
          <w:tcPr>
            <w:tcW w:w="2519" w:type="dxa"/>
            <w:tcBorders>
              <w:top w:val="single" w:sz="4" w:space="0" w:color="auto"/>
              <w:left w:val="single" w:sz="4" w:space="0" w:color="auto"/>
              <w:bottom w:val="single" w:sz="4" w:space="0" w:color="auto"/>
              <w:right w:val="single" w:sz="4" w:space="0" w:color="auto"/>
            </w:tcBorders>
            <w:vAlign w:val="center"/>
            <w:hideMark/>
          </w:tcPr>
          <w:p w:rsidR="005D64FE" w:rsidRPr="00803FC4" w:rsidRDefault="005D64FE" w:rsidP="006500AF">
            <w:pPr>
              <w:jc w:val="center"/>
              <w:rPr>
                <w:rFonts w:eastAsia="Times New Roman"/>
              </w:rPr>
            </w:pPr>
            <w:r>
              <w:rPr>
                <w:rFonts w:eastAsia="Times New Roman"/>
              </w:rPr>
              <w:t>750:1</w:t>
            </w:r>
          </w:p>
        </w:tc>
      </w:tr>
      <w:tr w:rsidR="005D64FE" w:rsidRPr="00803FC4" w:rsidTr="002066EC">
        <w:trPr>
          <w:trHeight w:val="270"/>
        </w:trPr>
        <w:tc>
          <w:tcPr>
            <w:tcW w:w="9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rPr>
                <w:rFonts w:eastAsia="Times New Roman"/>
              </w:rPr>
            </w:pPr>
            <w:r w:rsidRPr="00803FC4">
              <w:rPr>
                <w:rFonts w:eastAsia="Times New Roman"/>
              </w:rPr>
              <w:t>Traverse</w:t>
            </w:r>
          </w:p>
        </w:tc>
        <w:tc>
          <w:tcPr>
            <w:tcW w:w="251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5D64FE" w:rsidRPr="00803FC4" w:rsidRDefault="005D64FE" w:rsidP="006500AF">
            <w:pPr>
              <w:jc w:val="center"/>
              <w:rPr>
                <w:rFonts w:eastAsia="Times New Roman"/>
              </w:rPr>
            </w:pPr>
            <w:r>
              <w:rPr>
                <w:rFonts w:eastAsia="Times New Roman"/>
              </w:rPr>
              <w:t>Na</w:t>
            </w:r>
          </w:p>
        </w:tc>
      </w:tr>
      <w:tr w:rsidR="005D64FE" w:rsidRPr="00803FC4" w:rsidTr="002066EC">
        <w:trPr>
          <w:trHeight w:val="286"/>
        </w:trPr>
        <w:tc>
          <w:tcPr>
            <w:tcW w:w="9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64FE" w:rsidRPr="00803FC4" w:rsidRDefault="005D64FE" w:rsidP="006500AF">
            <w:pPr>
              <w:rPr>
                <w:rFonts w:eastAsia="Times New Roman"/>
              </w:rPr>
            </w:pPr>
            <w:r>
              <w:rPr>
                <w:rFonts w:eastAsia="Times New Roman"/>
              </w:rPr>
              <w:t>Minnesota</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D64FE" w:rsidRDefault="005D64FE" w:rsidP="006500AF">
            <w:pPr>
              <w:jc w:val="center"/>
              <w:rPr>
                <w:rFonts w:eastAsia="Times New Roman"/>
              </w:rPr>
            </w:pPr>
            <w:r>
              <w:rPr>
                <w:rFonts w:eastAsia="Times New Roman"/>
              </w:rPr>
              <w:t>490:1</w:t>
            </w:r>
          </w:p>
        </w:tc>
      </w:tr>
    </w:tbl>
    <w:p w:rsidR="005D64FE" w:rsidRDefault="005D64FE" w:rsidP="005D64FE">
      <w:pPr>
        <w:spacing w:after="0" w:line="240" w:lineRule="auto"/>
        <w:rPr>
          <w:rFonts w:ascii="Calibri" w:eastAsia="Times New Roman" w:hAnsi="Calibri" w:cs="Times New Roman"/>
          <w:sz w:val="24"/>
          <w:szCs w:val="24"/>
        </w:rPr>
      </w:pPr>
    </w:p>
    <w:p w:rsidR="005D64FE" w:rsidRDefault="005D64FE" w:rsidP="005D64FE">
      <w:pPr>
        <w:spacing w:after="0" w:line="240" w:lineRule="auto"/>
        <w:rPr>
          <w:rFonts w:ascii="Calibri" w:eastAsia="Times New Roman" w:hAnsi="Calibri" w:cs="Times New Roman"/>
          <w:sz w:val="24"/>
          <w:szCs w:val="24"/>
        </w:rPr>
      </w:pPr>
    </w:p>
    <w:p w:rsidR="005D64FE" w:rsidRDefault="005D64FE" w:rsidP="005D64FE">
      <w:pPr>
        <w:spacing w:after="0" w:line="240" w:lineRule="auto"/>
        <w:rPr>
          <w:rFonts w:ascii="Calibri" w:eastAsia="Times New Roman" w:hAnsi="Calibri" w:cs="Times New Roman"/>
          <w:sz w:val="24"/>
          <w:szCs w:val="24"/>
        </w:rPr>
      </w:pPr>
    </w:p>
    <w:p w:rsidR="005D64FE" w:rsidRDefault="005D64FE" w:rsidP="005D64FE">
      <w:pPr>
        <w:spacing w:after="0" w:line="240" w:lineRule="auto"/>
        <w:rPr>
          <w:rFonts w:ascii="Calibri" w:eastAsia="Times New Roman" w:hAnsi="Calibri" w:cs="Times New Roman"/>
          <w:sz w:val="24"/>
          <w:szCs w:val="24"/>
        </w:rPr>
      </w:pPr>
    </w:p>
    <w:p w:rsidR="005D64FE" w:rsidRDefault="005D64FE" w:rsidP="005D64FE">
      <w:pPr>
        <w:spacing w:after="0" w:line="240" w:lineRule="auto"/>
        <w:rPr>
          <w:rFonts w:ascii="Calibri" w:eastAsia="Times New Roman" w:hAnsi="Calibri" w:cs="Times New Roman"/>
          <w:sz w:val="24"/>
          <w:szCs w:val="24"/>
        </w:rPr>
      </w:pPr>
    </w:p>
    <w:p w:rsidR="005D64FE" w:rsidRDefault="005D64FE" w:rsidP="005D64FE">
      <w:pPr>
        <w:spacing w:after="0" w:line="240" w:lineRule="auto"/>
        <w:rPr>
          <w:rFonts w:ascii="Calibri" w:eastAsia="Times New Roman" w:hAnsi="Calibri" w:cs="Times New Roman"/>
          <w:sz w:val="24"/>
          <w:szCs w:val="24"/>
        </w:rPr>
      </w:pPr>
    </w:p>
    <w:p w:rsidR="00EB2650" w:rsidRDefault="00EB2650" w:rsidP="005D64FE">
      <w:pPr>
        <w:spacing w:after="0" w:line="240" w:lineRule="auto"/>
        <w:rPr>
          <w:rFonts w:ascii="Calibri" w:eastAsia="Times New Roman" w:hAnsi="Calibri" w:cs="Times New Roman"/>
          <w:sz w:val="24"/>
          <w:szCs w:val="24"/>
        </w:rPr>
      </w:pPr>
    </w:p>
    <w:p w:rsidR="00EB2650" w:rsidRDefault="00EB2650" w:rsidP="005D64FE">
      <w:pPr>
        <w:spacing w:after="0" w:line="240" w:lineRule="auto"/>
        <w:rPr>
          <w:rFonts w:ascii="Calibri" w:eastAsia="Times New Roman" w:hAnsi="Calibri" w:cs="Times New Roman"/>
          <w:sz w:val="24"/>
          <w:szCs w:val="24"/>
        </w:rPr>
      </w:pPr>
    </w:p>
    <w:p w:rsidR="00AD38D3" w:rsidRDefault="00AD38D3" w:rsidP="005D64FE">
      <w:pPr>
        <w:spacing w:after="0" w:line="240" w:lineRule="auto"/>
        <w:rPr>
          <w:rFonts w:ascii="Calibri" w:eastAsia="Times New Roman" w:hAnsi="Calibri" w:cs="Times New Roman"/>
          <w:sz w:val="24"/>
          <w:szCs w:val="24"/>
        </w:rPr>
      </w:pPr>
    </w:p>
    <w:p w:rsidR="002066EC" w:rsidRDefault="002066EC" w:rsidP="005D64FE">
      <w:pPr>
        <w:spacing w:after="0" w:line="240" w:lineRule="auto"/>
        <w:rPr>
          <w:rFonts w:ascii="Calibri" w:eastAsia="Times New Roman" w:hAnsi="Calibri" w:cs="Times New Roman"/>
          <w:sz w:val="24"/>
          <w:szCs w:val="24"/>
        </w:rPr>
      </w:pPr>
    </w:p>
    <w:p w:rsidR="002066EC" w:rsidRDefault="002066EC" w:rsidP="005D64FE">
      <w:pPr>
        <w:spacing w:after="0" w:line="240" w:lineRule="auto"/>
        <w:rPr>
          <w:rFonts w:ascii="Calibri" w:eastAsia="Times New Roman" w:hAnsi="Calibri" w:cs="Times New Roman"/>
          <w:sz w:val="24"/>
          <w:szCs w:val="24"/>
        </w:rPr>
      </w:pPr>
    </w:p>
    <w:p w:rsidR="005D64FE" w:rsidRDefault="007F63BF" w:rsidP="005D64FE">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Additionally, the next graph shows the percentage of students in 9</w:t>
      </w:r>
      <w:r w:rsidRPr="007F63BF">
        <w:rPr>
          <w:rFonts w:ascii="Calibri" w:eastAsia="Times New Roman" w:hAnsi="Calibri" w:cs="Times New Roman"/>
          <w:sz w:val="24"/>
          <w:szCs w:val="24"/>
          <w:vertAlign w:val="superscript"/>
        </w:rPr>
        <w:t>th</w:t>
      </w:r>
      <w:r>
        <w:rPr>
          <w:rFonts w:ascii="Calibri" w:eastAsia="Times New Roman" w:hAnsi="Calibri" w:cs="Times New Roman"/>
          <w:sz w:val="24"/>
          <w:szCs w:val="24"/>
        </w:rPr>
        <w:t xml:space="preserve"> and 11</w:t>
      </w:r>
      <w:r w:rsidRPr="007F63BF">
        <w:rPr>
          <w:rFonts w:ascii="Calibri" w:eastAsia="Times New Roman" w:hAnsi="Calibri" w:cs="Times New Roman"/>
          <w:sz w:val="24"/>
          <w:szCs w:val="24"/>
          <w:vertAlign w:val="superscript"/>
        </w:rPr>
        <w:t>th</w:t>
      </w:r>
      <w:r>
        <w:rPr>
          <w:rFonts w:ascii="Calibri" w:eastAsia="Times New Roman" w:hAnsi="Calibri" w:cs="Times New Roman"/>
          <w:sz w:val="24"/>
          <w:szCs w:val="24"/>
        </w:rPr>
        <w:t xml:space="preserve"> grades that were asked to score the statement “I feel good about myself.” The graph indicates those students who responded to this question with a “not at all or rarely” or “somewhat or sometimes.” </w:t>
      </w:r>
      <w:r w:rsidR="00A1346A">
        <w:rPr>
          <w:rFonts w:ascii="Calibri" w:eastAsia="Times New Roman" w:hAnsi="Calibri" w:cs="Times New Roman"/>
          <w:sz w:val="24"/>
          <w:szCs w:val="24"/>
        </w:rPr>
        <w:t>Females were more likely in both age groups to answer that they do not feel good about themselves. Additionally, 9</w:t>
      </w:r>
      <w:r w:rsidR="00A1346A" w:rsidRPr="00A1346A">
        <w:rPr>
          <w:rFonts w:ascii="Calibri" w:eastAsia="Times New Roman" w:hAnsi="Calibri" w:cs="Times New Roman"/>
          <w:sz w:val="24"/>
          <w:szCs w:val="24"/>
          <w:vertAlign w:val="superscript"/>
        </w:rPr>
        <w:t>th</w:t>
      </w:r>
      <w:r w:rsidR="00A1346A">
        <w:rPr>
          <w:rFonts w:ascii="Calibri" w:eastAsia="Times New Roman" w:hAnsi="Calibri" w:cs="Times New Roman"/>
          <w:sz w:val="24"/>
          <w:szCs w:val="24"/>
        </w:rPr>
        <w:t xml:space="preserve"> graders, both male and female feel better about themselves more often than their 11</w:t>
      </w:r>
      <w:r w:rsidR="00A1346A" w:rsidRPr="00A1346A">
        <w:rPr>
          <w:rFonts w:ascii="Calibri" w:eastAsia="Times New Roman" w:hAnsi="Calibri" w:cs="Times New Roman"/>
          <w:sz w:val="24"/>
          <w:szCs w:val="24"/>
          <w:vertAlign w:val="superscript"/>
        </w:rPr>
        <w:t>th</w:t>
      </w:r>
      <w:r w:rsidR="00A1346A">
        <w:rPr>
          <w:rFonts w:ascii="Calibri" w:eastAsia="Times New Roman" w:hAnsi="Calibri" w:cs="Times New Roman"/>
          <w:sz w:val="24"/>
          <w:szCs w:val="24"/>
        </w:rPr>
        <w:t xml:space="preserve"> grade peers. </w:t>
      </w:r>
    </w:p>
    <w:p w:rsidR="00400FC4" w:rsidRDefault="00400FC4" w:rsidP="005D64FE">
      <w:pPr>
        <w:spacing w:after="0" w:line="240" w:lineRule="auto"/>
        <w:rPr>
          <w:rFonts w:ascii="Calibri" w:eastAsia="Times New Roman" w:hAnsi="Calibri" w:cs="Times New Roman"/>
          <w:sz w:val="24"/>
          <w:szCs w:val="24"/>
        </w:rPr>
      </w:pPr>
    </w:p>
    <w:p w:rsidR="002066EC" w:rsidRDefault="002066EC" w:rsidP="005D64FE">
      <w:pPr>
        <w:spacing w:after="0" w:line="240" w:lineRule="auto"/>
        <w:rPr>
          <w:rFonts w:ascii="Calibri" w:eastAsia="Times New Roman" w:hAnsi="Calibri" w:cs="Times New Roman"/>
          <w:sz w:val="24"/>
          <w:szCs w:val="24"/>
        </w:rPr>
      </w:pPr>
    </w:p>
    <w:p w:rsidR="007F63BF" w:rsidRPr="00400FC4" w:rsidRDefault="007F63BF" w:rsidP="005D64FE">
      <w:pPr>
        <w:spacing w:after="0" w:line="240" w:lineRule="auto"/>
        <w:rPr>
          <w:rFonts w:ascii="Calibri" w:eastAsia="Times New Roman" w:hAnsi="Calibri" w:cs="Times New Roman"/>
          <w:b/>
          <w:i/>
          <w:sz w:val="24"/>
          <w:szCs w:val="24"/>
        </w:rPr>
      </w:pPr>
      <w:r w:rsidRPr="00400FC4">
        <w:rPr>
          <w:rFonts w:ascii="Calibri" w:eastAsia="Times New Roman" w:hAnsi="Calibri" w:cs="Times New Roman"/>
          <w:b/>
          <w:i/>
          <w:sz w:val="24"/>
          <w:szCs w:val="24"/>
        </w:rPr>
        <w:t>Percent of 9</w:t>
      </w:r>
      <w:r w:rsidRPr="00400FC4">
        <w:rPr>
          <w:rFonts w:ascii="Calibri" w:eastAsia="Times New Roman" w:hAnsi="Calibri" w:cs="Times New Roman"/>
          <w:b/>
          <w:i/>
          <w:sz w:val="24"/>
          <w:szCs w:val="24"/>
          <w:vertAlign w:val="superscript"/>
        </w:rPr>
        <w:t>th</w:t>
      </w:r>
      <w:r w:rsidRPr="00400FC4">
        <w:rPr>
          <w:rFonts w:ascii="Calibri" w:eastAsia="Times New Roman" w:hAnsi="Calibri" w:cs="Times New Roman"/>
          <w:b/>
          <w:i/>
          <w:sz w:val="24"/>
          <w:szCs w:val="24"/>
        </w:rPr>
        <w:t xml:space="preserve"> grade students that </w:t>
      </w:r>
      <w:r w:rsidR="00400FC4" w:rsidRPr="00400FC4">
        <w:rPr>
          <w:rFonts w:ascii="Calibri" w:eastAsia="Times New Roman" w:hAnsi="Calibri" w:cs="Times New Roman"/>
          <w:b/>
          <w:i/>
          <w:sz w:val="24"/>
          <w:szCs w:val="24"/>
        </w:rPr>
        <w:t>responded to the statement “I feel good about myself” with an answer of “not at all or rarely or “somewhat or sometimes”</w:t>
      </w:r>
    </w:p>
    <w:p w:rsidR="007F63BF" w:rsidRPr="005D64FE" w:rsidRDefault="007F63BF" w:rsidP="005D64FE">
      <w:pPr>
        <w:spacing w:after="0" w:line="240" w:lineRule="auto"/>
        <w:rPr>
          <w:rFonts w:ascii="Calibri" w:eastAsia="Times New Roman" w:hAnsi="Calibri" w:cs="Times New Roman"/>
          <w:sz w:val="24"/>
          <w:szCs w:val="24"/>
        </w:rPr>
      </w:pPr>
      <w:r>
        <w:rPr>
          <w:rFonts w:ascii="Calibri" w:eastAsia="Times New Roman" w:hAnsi="Calibri" w:cs="Times New Roman"/>
          <w:noProof/>
          <w:sz w:val="24"/>
          <w:szCs w:val="24"/>
        </w:rPr>
        <w:drawing>
          <wp:inline distT="0" distB="0" distL="0" distR="0">
            <wp:extent cx="579120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B0F93" w:rsidRDefault="007F63BF" w:rsidP="004919D0">
      <w:pPr>
        <w:spacing w:after="200" w:line="276" w:lineRule="auto"/>
        <w:rPr>
          <w:rFonts w:ascii="Calibri" w:eastAsia="Calibri" w:hAnsi="Calibri" w:cs="Times New Roman"/>
          <w:sz w:val="20"/>
          <w:szCs w:val="20"/>
        </w:rPr>
      </w:pPr>
      <w:r w:rsidRPr="007F63BF">
        <w:rPr>
          <w:rFonts w:ascii="Calibri" w:eastAsia="Calibri" w:hAnsi="Calibri" w:cs="Times New Roman"/>
          <w:sz w:val="20"/>
          <w:szCs w:val="20"/>
        </w:rPr>
        <w:t>Source: Minnesota Student Survey, 2016.</w:t>
      </w:r>
      <w:r w:rsidR="005B0F93">
        <w:rPr>
          <w:rFonts w:ascii="Calibri" w:eastAsia="Calibri" w:hAnsi="Calibri" w:cs="Times New Roman"/>
          <w:sz w:val="20"/>
          <w:szCs w:val="20"/>
        </w:rPr>
        <w:t xml:space="preserve"> Data as aggregate total for Grant and Traverse County; not available b</w:t>
      </w:r>
      <w:r w:rsidR="004919D0">
        <w:rPr>
          <w:rFonts w:ascii="Calibri" w:eastAsia="Calibri" w:hAnsi="Calibri" w:cs="Times New Roman"/>
          <w:sz w:val="20"/>
          <w:szCs w:val="20"/>
        </w:rPr>
        <w:t>y breakdown of male and female.</w:t>
      </w:r>
    </w:p>
    <w:p w:rsidR="00164890" w:rsidRDefault="00164890" w:rsidP="004919D0">
      <w:pPr>
        <w:spacing w:after="200" w:line="276" w:lineRule="auto"/>
        <w:rPr>
          <w:rFonts w:ascii="Calibri" w:eastAsia="Calibri" w:hAnsi="Calibri" w:cs="Times New Roman"/>
          <w:sz w:val="20"/>
          <w:szCs w:val="20"/>
        </w:rPr>
      </w:pPr>
    </w:p>
    <w:p w:rsidR="00164890" w:rsidRPr="004919D0" w:rsidRDefault="00164890" w:rsidP="004919D0">
      <w:pPr>
        <w:spacing w:after="200" w:line="276" w:lineRule="auto"/>
        <w:rPr>
          <w:rFonts w:ascii="Calibri" w:eastAsia="Calibri" w:hAnsi="Calibri" w:cs="Times New Roman"/>
          <w:sz w:val="20"/>
          <w:szCs w:val="20"/>
        </w:rPr>
      </w:pPr>
    </w:p>
    <w:p w:rsidR="005B0F93" w:rsidRDefault="005B0F93" w:rsidP="00203314">
      <w:pPr>
        <w:spacing w:after="0" w:line="240" w:lineRule="auto"/>
        <w:rPr>
          <w:rFonts w:ascii="Calibri" w:eastAsia="Times New Roman" w:hAnsi="Calibri" w:cs="Times New Roman"/>
          <w:b/>
          <w:i/>
          <w:sz w:val="24"/>
          <w:szCs w:val="24"/>
        </w:rPr>
      </w:pPr>
    </w:p>
    <w:p w:rsidR="00203314" w:rsidRPr="00400FC4" w:rsidRDefault="00203314" w:rsidP="00203314">
      <w:pPr>
        <w:spacing w:after="0" w:line="240" w:lineRule="auto"/>
        <w:rPr>
          <w:rFonts w:ascii="Calibri" w:eastAsia="Times New Roman" w:hAnsi="Calibri" w:cs="Times New Roman"/>
          <w:b/>
          <w:i/>
          <w:sz w:val="24"/>
          <w:szCs w:val="24"/>
        </w:rPr>
      </w:pPr>
      <w:r>
        <w:rPr>
          <w:rFonts w:ascii="Calibri" w:eastAsia="Times New Roman" w:hAnsi="Calibri" w:cs="Times New Roman"/>
          <w:b/>
          <w:i/>
          <w:sz w:val="24"/>
          <w:szCs w:val="24"/>
        </w:rPr>
        <w:lastRenderedPageBreak/>
        <w:t>Percent of 11</w:t>
      </w:r>
      <w:r w:rsidRPr="00400FC4">
        <w:rPr>
          <w:rFonts w:ascii="Calibri" w:eastAsia="Times New Roman" w:hAnsi="Calibri" w:cs="Times New Roman"/>
          <w:b/>
          <w:i/>
          <w:sz w:val="24"/>
          <w:szCs w:val="24"/>
          <w:vertAlign w:val="superscript"/>
        </w:rPr>
        <w:t>th</w:t>
      </w:r>
      <w:r w:rsidRPr="00400FC4">
        <w:rPr>
          <w:rFonts w:ascii="Calibri" w:eastAsia="Times New Roman" w:hAnsi="Calibri" w:cs="Times New Roman"/>
          <w:b/>
          <w:i/>
          <w:sz w:val="24"/>
          <w:szCs w:val="24"/>
        </w:rPr>
        <w:t xml:space="preserve"> grade students that responded to the statement “I feel good about myself” with an answer of “not at all or rarely or “somewhat or sometimes”</w:t>
      </w:r>
    </w:p>
    <w:p w:rsidR="00596EB9" w:rsidRDefault="00203314" w:rsidP="00596EB9">
      <w:pPr>
        <w:spacing w:after="200" w:line="276" w:lineRule="auto"/>
        <w:rPr>
          <w:rFonts w:ascii="Calibri" w:eastAsia="Calibri" w:hAnsi="Calibri" w:cs="Times New Roman"/>
          <w:sz w:val="20"/>
          <w:szCs w:val="20"/>
        </w:rPr>
      </w:pPr>
      <w:r>
        <w:rPr>
          <w:rFonts w:ascii="Calibri" w:eastAsia="Calibri" w:hAnsi="Calibri" w:cs="Times New Roman"/>
          <w:noProof/>
          <w:sz w:val="20"/>
          <w:szCs w:val="20"/>
        </w:rPr>
        <w:drawing>
          <wp:inline distT="0" distB="0" distL="0" distR="0">
            <wp:extent cx="5934075" cy="264795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96EB9" w:rsidRDefault="00596EB9" w:rsidP="00596EB9">
      <w:pPr>
        <w:spacing w:after="200" w:line="276" w:lineRule="auto"/>
        <w:rPr>
          <w:rFonts w:ascii="Calibri" w:eastAsia="Calibri" w:hAnsi="Calibri" w:cs="Times New Roman"/>
          <w:sz w:val="20"/>
          <w:szCs w:val="20"/>
        </w:rPr>
      </w:pPr>
      <w:r w:rsidRPr="007F63BF">
        <w:rPr>
          <w:rFonts w:ascii="Calibri" w:eastAsia="Calibri" w:hAnsi="Calibri" w:cs="Times New Roman"/>
          <w:sz w:val="20"/>
          <w:szCs w:val="20"/>
        </w:rPr>
        <w:t>Source: Minnesota Student Survey, 2016.</w:t>
      </w:r>
    </w:p>
    <w:p w:rsidR="00803FC4" w:rsidRPr="00803FC4" w:rsidRDefault="00803FC4" w:rsidP="00803FC4">
      <w:pPr>
        <w:spacing w:after="200" w:line="276" w:lineRule="auto"/>
        <w:ind w:left="-180"/>
        <w:rPr>
          <w:rFonts w:ascii="Calibri" w:eastAsia="Calibri" w:hAnsi="Calibri" w:cs="Times New Roman"/>
          <w:b/>
          <w:sz w:val="24"/>
        </w:rPr>
      </w:pPr>
    </w:p>
    <w:p w:rsidR="00F00FD8" w:rsidRPr="00164890" w:rsidRDefault="00F00FD8" w:rsidP="00164890">
      <w:pPr>
        <w:keepNext/>
        <w:keepLines/>
        <w:spacing w:before="200" w:after="0" w:line="276" w:lineRule="auto"/>
        <w:outlineLvl w:val="1"/>
        <w:rPr>
          <w:rFonts w:ascii="Cambria" w:eastAsia="Times New Roman" w:hAnsi="Cambria" w:cs="Times New Roman"/>
          <w:b/>
          <w:bCs/>
          <w:sz w:val="32"/>
          <w:szCs w:val="26"/>
        </w:rPr>
      </w:pPr>
      <w:r w:rsidRPr="00803FC4">
        <w:rPr>
          <w:rFonts w:ascii="Cambria" w:eastAsia="Times New Roman" w:hAnsi="Cambria" w:cs="Times New Roman"/>
          <w:b/>
          <w:bCs/>
          <w:sz w:val="32"/>
          <w:szCs w:val="26"/>
        </w:rPr>
        <w:t>Preventing Disease and Injury</w:t>
      </w:r>
    </w:p>
    <w:p w:rsidR="006A2638" w:rsidRDefault="00792D7C" w:rsidP="00F00FD8">
      <w:pPr>
        <w:spacing w:after="200" w:line="276" w:lineRule="auto"/>
        <w:rPr>
          <w:rFonts w:ascii="Calibri" w:eastAsia="Calibri" w:hAnsi="Calibri" w:cs="Times New Roman"/>
          <w:sz w:val="24"/>
        </w:rPr>
      </w:pPr>
      <w:r>
        <w:rPr>
          <w:rFonts w:ascii="Calibri" w:eastAsia="Calibri" w:hAnsi="Calibri" w:cs="Times New Roman"/>
          <w:sz w:val="24"/>
        </w:rPr>
        <w:t>Many chronic diseases, such as heart disease, stroke, or diabetes, are preventable health conditions that are often linked to poor diet or lifestyle choices</w:t>
      </w:r>
      <w:r w:rsidR="00634EDD">
        <w:rPr>
          <w:rFonts w:ascii="Calibri" w:eastAsia="Calibri" w:hAnsi="Calibri" w:cs="Times New Roman"/>
          <w:sz w:val="24"/>
        </w:rPr>
        <w:t>, which are environmental rather than genetic factors</w:t>
      </w:r>
      <w:r>
        <w:rPr>
          <w:rFonts w:ascii="Calibri" w:eastAsia="Calibri" w:hAnsi="Calibri" w:cs="Times New Roman"/>
          <w:sz w:val="24"/>
        </w:rPr>
        <w:t>. These chronic diseases can compromise a person’s quality of</w:t>
      </w:r>
      <w:r w:rsidR="0056789E">
        <w:rPr>
          <w:rFonts w:ascii="Calibri" w:eastAsia="Calibri" w:hAnsi="Calibri" w:cs="Times New Roman"/>
          <w:sz w:val="24"/>
        </w:rPr>
        <w:t xml:space="preserve"> life and can lead to </w:t>
      </w:r>
      <w:r>
        <w:rPr>
          <w:rFonts w:ascii="Calibri" w:eastAsia="Calibri" w:hAnsi="Calibri" w:cs="Times New Roman"/>
          <w:sz w:val="24"/>
        </w:rPr>
        <w:t>disability</w:t>
      </w:r>
      <w:r w:rsidR="0056789E">
        <w:rPr>
          <w:rFonts w:ascii="Calibri" w:eastAsia="Calibri" w:hAnsi="Calibri" w:cs="Times New Roman"/>
          <w:sz w:val="24"/>
        </w:rPr>
        <w:t xml:space="preserve"> or death</w:t>
      </w:r>
      <w:r>
        <w:rPr>
          <w:rFonts w:ascii="Calibri" w:eastAsia="Calibri" w:hAnsi="Calibri" w:cs="Times New Roman"/>
          <w:sz w:val="24"/>
        </w:rPr>
        <w:t xml:space="preserve">. </w:t>
      </w:r>
      <w:r w:rsidR="00634EDD">
        <w:rPr>
          <w:rFonts w:ascii="Calibri" w:eastAsia="Calibri" w:hAnsi="Calibri" w:cs="Times New Roman"/>
          <w:sz w:val="24"/>
        </w:rPr>
        <w:t xml:space="preserve">Some of the ways that individuals in the Horizon community can work towards preventing chronic disease include staying physically active, maintaining a healthy weight, avoiding tobacco use, and eating a health diet. </w:t>
      </w:r>
      <w:r w:rsidR="00634EDD">
        <w:rPr>
          <w:rStyle w:val="EndnoteReference"/>
          <w:rFonts w:ascii="Calibri" w:eastAsia="Calibri" w:hAnsi="Calibri" w:cs="Times New Roman"/>
          <w:sz w:val="24"/>
        </w:rPr>
        <w:endnoteReference w:id="22"/>
      </w:r>
    </w:p>
    <w:p w:rsidR="00AD38D3" w:rsidRDefault="0056789E" w:rsidP="00F00FD8">
      <w:pPr>
        <w:spacing w:after="200" w:line="276" w:lineRule="auto"/>
        <w:rPr>
          <w:rFonts w:ascii="Calibri" w:eastAsia="Calibri" w:hAnsi="Calibri" w:cs="Times New Roman"/>
          <w:sz w:val="24"/>
        </w:rPr>
      </w:pPr>
      <w:r>
        <w:rPr>
          <w:rFonts w:ascii="Calibri" w:eastAsia="Calibri" w:hAnsi="Calibri" w:cs="Times New Roman"/>
          <w:sz w:val="24"/>
        </w:rPr>
        <w:t xml:space="preserve">Additionally, when looking at preventing disease, it is important to view and understand safe sex practices. </w:t>
      </w:r>
      <w:r w:rsidR="00F00FD8" w:rsidRPr="00803FC4">
        <w:rPr>
          <w:rFonts w:ascii="Calibri" w:eastAsia="Calibri" w:hAnsi="Calibri" w:cs="Times New Roman"/>
          <w:sz w:val="24"/>
        </w:rPr>
        <w:t xml:space="preserve">The </w:t>
      </w:r>
      <w:r w:rsidR="00F00FD8">
        <w:rPr>
          <w:rFonts w:ascii="Calibri" w:eastAsia="Calibri" w:hAnsi="Calibri" w:cs="Times New Roman"/>
          <w:sz w:val="24"/>
        </w:rPr>
        <w:t xml:space="preserve">most effective way to avoid transmission of sexually transmitted infections and unplanned pregnancies is to teach youth about abstinence and prevention.  If youth do engage in sexual activity, they are at an increased risk and become more vulnerable when they fail to use condoms or another form of birth control consistently. Below are charts </w:t>
      </w:r>
      <w:r w:rsidR="00F00FD8" w:rsidRPr="00803FC4">
        <w:rPr>
          <w:rFonts w:ascii="Calibri" w:eastAsia="Calibri" w:hAnsi="Calibri" w:cs="Times New Roman"/>
          <w:sz w:val="24"/>
        </w:rPr>
        <w:t xml:space="preserve">that show the percentage of students who are sexually active </w:t>
      </w:r>
      <w:r w:rsidR="00F00FD8">
        <w:rPr>
          <w:rFonts w:ascii="Calibri" w:eastAsia="Calibri" w:hAnsi="Calibri" w:cs="Times New Roman"/>
          <w:sz w:val="24"/>
        </w:rPr>
        <w:t>and those students who used a condom the last time they had sex</w:t>
      </w:r>
      <w:r w:rsidR="00F00FD8" w:rsidRPr="00803FC4">
        <w:rPr>
          <w:rFonts w:ascii="Calibri" w:eastAsia="Calibri" w:hAnsi="Calibri" w:cs="Times New Roman"/>
          <w:sz w:val="24"/>
        </w:rPr>
        <w:t xml:space="preserve">.  </w:t>
      </w:r>
      <w:r w:rsidR="00F00FD8">
        <w:rPr>
          <w:rFonts w:ascii="Calibri" w:eastAsia="Calibri" w:hAnsi="Calibri" w:cs="Times New Roman"/>
          <w:sz w:val="24"/>
        </w:rPr>
        <w:t>Due to the small size of some of the schools within the counties, some totals are aggregate of males and females, rather than broken down separately.</w:t>
      </w:r>
    </w:p>
    <w:p w:rsidR="002066EC" w:rsidRDefault="002066EC" w:rsidP="00F00FD8">
      <w:pPr>
        <w:spacing w:after="200" w:line="276" w:lineRule="auto"/>
        <w:rPr>
          <w:rFonts w:ascii="Calibri" w:eastAsia="Calibri" w:hAnsi="Calibri" w:cs="Times New Roman"/>
          <w:sz w:val="24"/>
        </w:rPr>
      </w:pPr>
    </w:p>
    <w:p w:rsidR="002066EC" w:rsidRDefault="002066EC" w:rsidP="00F00FD8">
      <w:pPr>
        <w:spacing w:after="200" w:line="276" w:lineRule="auto"/>
        <w:rPr>
          <w:rFonts w:ascii="Calibri" w:eastAsia="Calibri" w:hAnsi="Calibri" w:cs="Times New Roman"/>
          <w:sz w:val="24"/>
        </w:rPr>
      </w:pPr>
    </w:p>
    <w:p w:rsidR="002066EC" w:rsidRDefault="002066EC" w:rsidP="00F00FD8">
      <w:pPr>
        <w:spacing w:after="200" w:line="276" w:lineRule="auto"/>
        <w:rPr>
          <w:rFonts w:ascii="Calibri" w:eastAsia="Calibri" w:hAnsi="Calibri" w:cs="Times New Roman"/>
          <w:sz w:val="24"/>
        </w:rPr>
      </w:pPr>
    </w:p>
    <w:p w:rsidR="00164890" w:rsidRPr="00164890" w:rsidRDefault="00F00FD8" w:rsidP="00F00FD8">
      <w:pPr>
        <w:spacing w:after="200" w:line="276" w:lineRule="auto"/>
        <w:rPr>
          <w:rFonts w:ascii="Calibri" w:eastAsia="Calibri" w:hAnsi="Calibri" w:cs="Times New Roman"/>
          <w:sz w:val="24"/>
        </w:rPr>
      </w:pPr>
      <w:r>
        <w:rPr>
          <w:rFonts w:ascii="Calibri" w:eastAsia="Calibri" w:hAnsi="Calibri" w:cs="Times New Roman"/>
          <w:sz w:val="24"/>
        </w:rPr>
        <w:lastRenderedPageBreak/>
        <w:t>Pope</w:t>
      </w:r>
      <w:r w:rsidRPr="00803FC4">
        <w:rPr>
          <w:rFonts w:ascii="Calibri" w:eastAsia="Calibri" w:hAnsi="Calibri" w:cs="Times New Roman"/>
          <w:sz w:val="24"/>
        </w:rPr>
        <w:t xml:space="preserve"> Count</w:t>
      </w:r>
      <w:r>
        <w:rPr>
          <w:rFonts w:ascii="Calibri" w:eastAsia="Calibri" w:hAnsi="Calibri" w:cs="Times New Roman"/>
          <w:sz w:val="24"/>
        </w:rPr>
        <w:t xml:space="preserve">y has the highest percentage </w:t>
      </w:r>
      <w:r w:rsidRPr="00803FC4">
        <w:rPr>
          <w:rFonts w:ascii="Calibri" w:eastAsia="Calibri" w:hAnsi="Calibri" w:cs="Times New Roman"/>
          <w:sz w:val="24"/>
        </w:rPr>
        <w:t xml:space="preserve">of </w:t>
      </w:r>
      <w:r>
        <w:rPr>
          <w:rFonts w:ascii="Calibri" w:eastAsia="Calibri" w:hAnsi="Calibri" w:cs="Times New Roman"/>
          <w:sz w:val="24"/>
        </w:rPr>
        <w:t>eleventh grade males and females</w:t>
      </w:r>
      <w:r w:rsidRPr="00803FC4">
        <w:rPr>
          <w:rFonts w:ascii="Calibri" w:eastAsia="Calibri" w:hAnsi="Calibri" w:cs="Times New Roman"/>
          <w:sz w:val="24"/>
        </w:rPr>
        <w:t xml:space="preserve"> who use a condom</w:t>
      </w:r>
      <w:r>
        <w:rPr>
          <w:rFonts w:ascii="Calibri" w:eastAsia="Calibri" w:hAnsi="Calibri" w:cs="Times New Roman"/>
          <w:sz w:val="24"/>
        </w:rPr>
        <w:t>; 94 percent and 83 percent respectively</w:t>
      </w:r>
      <w:r w:rsidRPr="00803FC4">
        <w:rPr>
          <w:rFonts w:ascii="Calibri" w:eastAsia="Calibri" w:hAnsi="Calibri" w:cs="Times New Roman"/>
          <w:sz w:val="24"/>
        </w:rPr>
        <w:t xml:space="preserve">.  </w:t>
      </w:r>
      <w:r>
        <w:rPr>
          <w:rFonts w:ascii="Calibri" w:eastAsia="Calibri" w:hAnsi="Calibri" w:cs="Times New Roman"/>
          <w:sz w:val="24"/>
        </w:rPr>
        <w:t xml:space="preserve">Douglas County has the lowest percentages for </w:t>
      </w:r>
      <w:r w:rsidRPr="00CA032B">
        <w:rPr>
          <w:rFonts w:ascii="Calibri" w:eastAsia="Calibri" w:hAnsi="Calibri" w:cs="Times New Roman"/>
          <w:sz w:val="24"/>
        </w:rPr>
        <w:t>males and females</w:t>
      </w:r>
      <w:r w:rsidRPr="00CA032B">
        <w:rPr>
          <w:rFonts w:ascii="Calibri" w:eastAsia="Calibri" w:hAnsi="Calibri" w:cs="Times New Roman"/>
        </w:rPr>
        <w:t>; 65 percent respectively</w:t>
      </w:r>
      <w:r>
        <w:rPr>
          <w:rFonts w:ascii="Calibri" w:eastAsia="Calibri" w:hAnsi="Calibri" w:cs="Times New Roman"/>
        </w:rPr>
        <w:t xml:space="preserve">.  </w:t>
      </w:r>
      <w:r>
        <w:rPr>
          <w:rFonts w:ascii="Calibri" w:eastAsia="Calibri" w:hAnsi="Calibri" w:cs="Times New Roman"/>
          <w:sz w:val="24"/>
        </w:rPr>
        <w:t>Additionally, the</w:t>
      </w:r>
      <w:r w:rsidRPr="00803FC4">
        <w:rPr>
          <w:rFonts w:ascii="Calibri" w:eastAsia="Calibri" w:hAnsi="Calibri" w:cs="Times New Roman"/>
          <w:sz w:val="24"/>
        </w:rPr>
        <w:t xml:space="preserve"> percent of ninth graders who use a condom is</w:t>
      </w:r>
      <w:r>
        <w:rPr>
          <w:rFonts w:ascii="Calibri" w:eastAsia="Calibri" w:hAnsi="Calibri" w:cs="Times New Roman"/>
          <w:sz w:val="24"/>
        </w:rPr>
        <w:t xml:space="preserve"> higher than the </w:t>
      </w:r>
      <w:r w:rsidR="002066EC">
        <w:rPr>
          <w:rFonts w:ascii="Calibri" w:eastAsia="Calibri" w:hAnsi="Calibri" w:cs="Times New Roman"/>
          <w:sz w:val="24"/>
        </w:rPr>
        <w:t>percentage of eleventh graders.</w:t>
      </w:r>
    </w:p>
    <w:p w:rsidR="003825CE" w:rsidRPr="003825CE" w:rsidRDefault="003825CE" w:rsidP="00F00FD8">
      <w:pPr>
        <w:spacing w:after="200" w:line="276" w:lineRule="auto"/>
        <w:rPr>
          <w:rFonts w:ascii="Calibri" w:eastAsia="Calibri" w:hAnsi="Calibri" w:cs="Times New Roman"/>
          <w:b/>
          <w:i/>
        </w:rPr>
      </w:pPr>
      <w:r w:rsidRPr="003825CE">
        <w:rPr>
          <w:rFonts w:ascii="Calibri" w:eastAsia="Calibri" w:hAnsi="Calibri" w:cs="Times New Roman"/>
          <w:b/>
          <w:i/>
        </w:rPr>
        <w:t>Percent of 11</w:t>
      </w:r>
      <w:r w:rsidRPr="003825CE">
        <w:rPr>
          <w:rFonts w:ascii="Calibri" w:eastAsia="Calibri" w:hAnsi="Calibri" w:cs="Times New Roman"/>
          <w:b/>
          <w:i/>
          <w:vertAlign w:val="superscript"/>
        </w:rPr>
        <w:t>th</w:t>
      </w:r>
      <w:r w:rsidRPr="003825CE">
        <w:rPr>
          <w:rFonts w:ascii="Calibri" w:eastAsia="Calibri" w:hAnsi="Calibri" w:cs="Times New Roman"/>
          <w:b/>
          <w:i/>
        </w:rPr>
        <w:t xml:space="preserve"> grade students who are sexually active</w:t>
      </w:r>
    </w:p>
    <w:p w:rsidR="003825CE" w:rsidRPr="00CA032B" w:rsidRDefault="003825CE" w:rsidP="00F00FD8">
      <w:pPr>
        <w:spacing w:after="200" w:line="276" w:lineRule="auto"/>
        <w:rPr>
          <w:rFonts w:ascii="Calibri" w:eastAsia="Calibri" w:hAnsi="Calibri" w:cs="Times New Roman"/>
          <w:i/>
        </w:rPr>
        <w:sectPr w:rsidR="003825CE" w:rsidRPr="00CA032B" w:rsidSect="00F00FD8">
          <w:footnotePr>
            <w:numFmt w:val="upperLetter"/>
          </w:footnotePr>
          <w:endnotePr>
            <w:numFmt w:val="decimal"/>
          </w:endnotePr>
          <w:pgSz w:w="12240" w:h="15840"/>
          <w:pgMar w:top="1440" w:right="1440" w:bottom="1440" w:left="1440" w:header="720" w:footer="720" w:gutter="0"/>
          <w:cols w:space="720"/>
        </w:sectPr>
      </w:pPr>
      <w:r>
        <w:rPr>
          <w:rFonts w:ascii="Calibri" w:eastAsia="Times New Roman" w:hAnsi="Calibri" w:cs="Times New Roman"/>
          <w:noProof/>
          <w:sz w:val="24"/>
        </w:rPr>
        <w:drawing>
          <wp:inline distT="0" distB="0" distL="0" distR="0" wp14:anchorId="274D82DD" wp14:editId="63A22AEE">
            <wp:extent cx="5886450" cy="187642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25CE" w:rsidRPr="003825CE" w:rsidRDefault="003825CE" w:rsidP="00164890">
      <w:pPr>
        <w:spacing w:after="200" w:line="276" w:lineRule="auto"/>
        <w:ind w:firstLine="720"/>
        <w:rPr>
          <w:rFonts w:ascii="Calibri" w:eastAsia="Calibri" w:hAnsi="Calibri" w:cs="Times New Roman"/>
          <w:b/>
          <w:i/>
        </w:rPr>
      </w:pPr>
      <w:r w:rsidRPr="003825CE">
        <w:rPr>
          <w:rFonts w:ascii="Calibri" w:eastAsia="Calibri" w:hAnsi="Calibri" w:cs="Times New Roman"/>
          <w:b/>
          <w:i/>
        </w:rPr>
        <w:lastRenderedPageBreak/>
        <w:t>Percent of 11</w:t>
      </w:r>
      <w:r w:rsidRPr="003825CE">
        <w:rPr>
          <w:rFonts w:ascii="Calibri" w:eastAsia="Calibri" w:hAnsi="Calibri" w:cs="Times New Roman"/>
          <w:b/>
          <w:i/>
          <w:vertAlign w:val="superscript"/>
        </w:rPr>
        <w:t>th</w:t>
      </w:r>
      <w:r w:rsidRPr="003825CE">
        <w:rPr>
          <w:rFonts w:ascii="Calibri" w:eastAsia="Calibri" w:hAnsi="Calibri" w:cs="Times New Roman"/>
          <w:b/>
          <w:i/>
        </w:rPr>
        <w:t xml:space="preserve"> grade students who </w:t>
      </w:r>
      <w:r w:rsidR="0056789E">
        <w:rPr>
          <w:rFonts w:ascii="Calibri" w:eastAsia="Calibri" w:hAnsi="Calibri" w:cs="Times New Roman"/>
          <w:b/>
          <w:i/>
        </w:rPr>
        <w:t>used a condom the last time they had sex</w:t>
      </w:r>
    </w:p>
    <w:p w:rsidR="00F00FD8" w:rsidRDefault="003825CE" w:rsidP="003825CE">
      <w:pPr>
        <w:spacing w:after="0" w:line="240" w:lineRule="auto"/>
        <w:jc w:val="center"/>
        <w:rPr>
          <w:rFonts w:ascii="Calibri" w:eastAsia="Times New Roman" w:hAnsi="Calibri" w:cs="Times New Roman"/>
          <w:i/>
          <w:sz w:val="20"/>
          <w:szCs w:val="20"/>
        </w:rPr>
      </w:pPr>
      <w:r>
        <w:rPr>
          <w:rFonts w:ascii="Calibri" w:eastAsia="Times New Roman" w:hAnsi="Calibri" w:cs="Times New Roman"/>
          <w:i/>
          <w:noProof/>
          <w:sz w:val="24"/>
        </w:rPr>
        <w:drawing>
          <wp:inline distT="0" distB="0" distL="0" distR="0" wp14:anchorId="764D6E3C" wp14:editId="138AFC78">
            <wp:extent cx="6276975" cy="17049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00FD8" w:rsidRPr="00875EF0" w:rsidRDefault="00F00FD8" w:rsidP="00F00FD8">
      <w:pPr>
        <w:spacing w:after="0" w:line="240" w:lineRule="auto"/>
        <w:rPr>
          <w:rFonts w:ascii="Calibri" w:eastAsia="Times New Roman" w:hAnsi="Calibri" w:cs="Times New Roman"/>
          <w:i/>
          <w:sz w:val="20"/>
          <w:szCs w:val="20"/>
        </w:rPr>
      </w:pPr>
      <w:r w:rsidRPr="00875EF0">
        <w:rPr>
          <w:rFonts w:ascii="Calibri" w:eastAsia="Times New Roman" w:hAnsi="Calibri" w:cs="Times New Roman"/>
          <w:i/>
          <w:sz w:val="20"/>
          <w:szCs w:val="20"/>
        </w:rPr>
        <w:t>Source: Minnesota Student Survey, 2016</w:t>
      </w:r>
    </w:p>
    <w:p w:rsidR="006A2638" w:rsidRDefault="006A2638" w:rsidP="00803FC4">
      <w:pPr>
        <w:spacing w:after="200" w:line="276" w:lineRule="auto"/>
        <w:rPr>
          <w:rFonts w:eastAsia="Calibri" w:cs="Times New Roman"/>
          <w:sz w:val="24"/>
          <w:szCs w:val="24"/>
        </w:rPr>
      </w:pPr>
    </w:p>
    <w:p w:rsidR="006A2638" w:rsidRPr="006A2638" w:rsidRDefault="006A2638" w:rsidP="00803FC4">
      <w:pPr>
        <w:spacing w:after="200" w:line="276" w:lineRule="auto"/>
        <w:rPr>
          <w:rFonts w:eastAsia="Calibri" w:cs="Times New Roman"/>
          <w:sz w:val="24"/>
          <w:szCs w:val="24"/>
        </w:rPr>
      </w:pPr>
      <w:r>
        <w:rPr>
          <w:rFonts w:eastAsia="Calibri" w:cs="Times New Roman"/>
          <w:sz w:val="24"/>
          <w:szCs w:val="24"/>
        </w:rPr>
        <w:t>Unintentional injuries can sometimes be prevented by assessing your environment, lifestyle, and risks. Although unintentional injuries are relatively low in the Horizon communities, the community partnership team discussed concerns regarding injuries that could be avoided. In 2016, vehicle crashes were often occurring in the 20-29 year old population as a result of failing to yield or due to being chemically impaired. These are both preventable types of motor vehicle accidents that can occur with assessing your environment and situation more closely.</w:t>
      </w:r>
    </w:p>
    <w:p w:rsidR="005A46BD" w:rsidRPr="0086227D" w:rsidRDefault="005A46BD" w:rsidP="005A46BD">
      <w:pPr>
        <w:pStyle w:val="Heading2"/>
        <w:rPr>
          <w:sz w:val="28"/>
          <w:szCs w:val="28"/>
        </w:rPr>
      </w:pPr>
      <w:r w:rsidRPr="0086227D">
        <w:rPr>
          <w:sz w:val="28"/>
          <w:szCs w:val="28"/>
        </w:rPr>
        <w:t>Leading Causes of Death and Mortality in Minnesota</w:t>
      </w:r>
    </w:p>
    <w:p w:rsidR="005A46BD" w:rsidRPr="005D3CC7" w:rsidRDefault="005A46BD" w:rsidP="005A46BD">
      <w:pPr>
        <w:rPr>
          <w:rFonts w:cs="Times New Roman"/>
          <w:sz w:val="24"/>
        </w:rPr>
      </w:pPr>
      <w:r w:rsidRPr="005D3CC7">
        <w:rPr>
          <w:rFonts w:cs="Times New Roman"/>
          <w:sz w:val="24"/>
        </w:rPr>
        <w:t xml:space="preserve">In the line chart shown below, the age adjusted death rate per 100,000 individuals is tracked </w:t>
      </w:r>
      <w:r>
        <w:rPr>
          <w:rFonts w:cs="Times New Roman"/>
          <w:sz w:val="24"/>
        </w:rPr>
        <w:t>from</w:t>
      </w:r>
      <w:r w:rsidRPr="005D3CC7">
        <w:rPr>
          <w:rFonts w:cs="Times New Roman"/>
          <w:sz w:val="24"/>
        </w:rPr>
        <w:t xml:space="preserve"> 1991 to 2010.  The </w:t>
      </w:r>
      <w:r>
        <w:rPr>
          <w:rFonts w:cs="Times New Roman"/>
          <w:sz w:val="24"/>
        </w:rPr>
        <w:t xml:space="preserve">Horizon Community Health </w:t>
      </w:r>
      <w:r w:rsidR="0016639F">
        <w:rPr>
          <w:rFonts w:cs="Times New Roman"/>
          <w:sz w:val="24"/>
        </w:rPr>
        <w:t>Board area</w:t>
      </w:r>
      <w:r w:rsidRPr="005D3CC7">
        <w:rPr>
          <w:rFonts w:cs="Times New Roman"/>
          <w:sz w:val="24"/>
        </w:rPr>
        <w:t xml:space="preserve"> has remained lower in </w:t>
      </w:r>
      <w:r>
        <w:rPr>
          <w:rFonts w:cs="Times New Roman"/>
          <w:sz w:val="24"/>
        </w:rPr>
        <w:t>c</w:t>
      </w:r>
      <w:r w:rsidRPr="005D3CC7">
        <w:rPr>
          <w:rFonts w:cs="Times New Roman"/>
          <w:sz w:val="24"/>
        </w:rPr>
        <w:t>ancer death rate compared to Minnesota as a whole</w:t>
      </w:r>
      <w:r>
        <w:rPr>
          <w:rFonts w:cs="Times New Roman"/>
          <w:sz w:val="24"/>
        </w:rPr>
        <w:t>,</w:t>
      </w:r>
      <w:r w:rsidRPr="005D3CC7">
        <w:rPr>
          <w:rFonts w:cs="Times New Roman"/>
          <w:sz w:val="24"/>
        </w:rPr>
        <w:t xml:space="preserve"> and the rates for both Minnesota and the </w:t>
      </w:r>
      <w:r>
        <w:rPr>
          <w:rFonts w:cs="Times New Roman"/>
          <w:sz w:val="24"/>
        </w:rPr>
        <w:t xml:space="preserve">Horizon Community Health </w:t>
      </w:r>
      <w:r w:rsidR="0016639F">
        <w:rPr>
          <w:rFonts w:cs="Times New Roman"/>
          <w:sz w:val="24"/>
        </w:rPr>
        <w:t>Board area</w:t>
      </w:r>
      <w:r w:rsidRPr="005D3CC7">
        <w:rPr>
          <w:rFonts w:cs="Times New Roman"/>
          <w:sz w:val="24"/>
        </w:rPr>
        <w:t xml:space="preserve"> has declined throughout the years.  As for </w:t>
      </w:r>
      <w:r>
        <w:rPr>
          <w:rFonts w:cs="Times New Roman"/>
          <w:sz w:val="24"/>
        </w:rPr>
        <w:t>h</w:t>
      </w:r>
      <w:r w:rsidRPr="005D3CC7">
        <w:rPr>
          <w:rFonts w:cs="Times New Roman"/>
          <w:sz w:val="24"/>
        </w:rPr>
        <w:t xml:space="preserve">eart </w:t>
      </w:r>
      <w:r>
        <w:rPr>
          <w:rFonts w:cs="Times New Roman"/>
          <w:sz w:val="24"/>
        </w:rPr>
        <w:t>d</w:t>
      </w:r>
      <w:r w:rsidRPr="005D3CC7">
        <w:rPr>
          <w:rFonts w:cs="Times New Roman"/>
          <w:sz w:val="24"/>
        </w:rPr>
        <w:t xml:space="preserve">isease, the </w:t>
      </w:r>
      <w:r>
        <w:rPr>
          <w:rFonts w:cs="Times New Roman"/>
          <w:sz w:val="24"/>
        </w:rPr>
        <w:t xml:space="preserve">Horizon Community Health </w:t>
      </w:r>
      <w:r w:rsidR="0016639F">
        <w:rPr>
          <w:rFonts w:cs="Times New Roman"/>
          <w:sz w:val="24"/>
        </w:rPr>
        <w:t>Board area</w:t>
      </w:r>
      <w:r w:rsidRPr="005D3CC7">
        <w:rPr>
          <w:rFonts w:cs="Times New Roman"/>
          <w:sz w:val="24"/>
        </w:rPr>
        <w:t xml:space="preserve"> has had a higher rate by 20 </w:t>
      </w:r>
      <w:r>
        <w:rPr>
          <w:rFonts w:cs="Times New Roman"/>
          <w:sz w:val="24"/>
        </w:rPr>
        <w:t xml:space="preserve">deaths </w:t>
      </w:r>
      <w:r w:rsidRPr="005D3CC7">
        <w:rPr>
          <w:rFonts w:cs="Times New Roman"/>
          <w:sz w:val="24"/>
        </w:rPr>
        <w:t xml:space="preserve">compared to Minnesota.  </w:t>
      </w:r>
    </w:p>
    <w:p w:rsidR="005A46BD" w:rsidRPr="005D3CC7" w:rsidRDefault="005A46BD" w:rsidP="005A46BD">
      <w:pPr>
        <w:rPr>
          <w:rFonts w:cs="Times New Roman"/>
          <w:sz w:val="24"/>
        </w:rPr>
      </w:pPr>
      <w:r w:rsidRPr="005D3CC7">
        <w:rPr>
          <w:rFonts w:cs="Times New Roman"/>
          <w:sz w:val="24"/>
        </w:rPr>
        <w:t>There has been a decrease in</w:t>
      </w:r>
      <w:r>
        <w:rPr>
          <w:rFonts w:cs="Times New Roman"/>
          <w:sz w:val="24"/>
        </w:rPr>
        <w:t xml:space="preserve"> death due to</w:t>
      </w:r>
      <w:r w:rsidRPr="005D3CC7">
        <w:rPr>
          <w:rFonts w:cs="Times New Roman"/>
          <w:sz w:val="24"/>
        </w:rPr>
        <w:t xml:space="preserve"> </w:t>
      </w:r>
      <w:r>
        <w:rPr>
          <w:rFonts w:cs="Times New Roman"/>
          <w:sz w:val="24"/>
        </w:rPr>
        <w:t>h</w:t>
      </w:r>
      <w:r w:rsidRPr="005D3CC7">
        <w:rPr>
          <w:rFonts w:cs="Times New Roman"/>
          <w:sz w:val="24"/>
        </w:rPr>
        <w:t xml:space="preserve">eart </w:t>
      </w:r>
      <w:r>
        <w:rPr>
          <w:rFonts w:cs="Times New Roman"/>
          <w:sz w:val="24"/>
        </w:rPr>
        <w:t>d</w:t>
      </w:r>
      <w:r w:rsidRPr="005D3CC7">
        <w:rPr>
          <w:rFonts w:cs="Times New Roman"/>
          <w:sz w:val="24"/>
        </w:rPr>
        <w:t xml:space="preserve">isease in both Minnesota and the </w:t>
      </w:r>
      <w:r>
        <w:rPr>
          <w:rFonts w:cs="Times New Roman"/>
          <w:sz w:val="24"/>
        </w:rPr>
        <w:t xml:space="preserve">Horizon Community Health </w:t>
      </w:r>
      <w:r w:rsidR="0016639F">
        <w:rPr>
          <w:rFonts w:cs="Times New Roman"/>
          <w:sz w:val="24"/>
        </w:rPr>
        <w:t>Board area</w:t>
      </w:r>
      <w:r w:rsidRPr="005D3CC7">
        <w:rPr>
          <w:rFonts w:cs="Times New Roman"/>
          <w:sz w:val="24"/>
        </w:rPr>
        <w:t xml:space="preserve"> throughout the years.  </w:t>
      </w:r>
      <w:r>
        <w:rPr>
          <w:rFonts w:cs="Times New Roman"/>
          <w:sz w:val="24"/>
        </w:rPr>
        <w:t>T</w:t>
      </w:r>
      <w:r w:rsidRPr="005D3CC7">
        <w:rPr>
          <w:rFonts w:cs="Times New Roman"/>
          <w:sz w:val="24"/>
        </w:rPr>
        <w:t xml:space="preserve">he </w:t>
      </w:r>
      <w:r>
        <w:rPr>
          <w:rFonts w:cs="Times New Roman"/>
          <w:sz w:val="24"/>
        </w:rPr>
        <w:t>difference</w:t>
      </w:r>
      <w:r w:rsidRPr="005D3CC7">
        <w:rPr>
          <w:rFonts w:cs="Times New Roman"/>
          <w:sz w:val="24"/>
        </w:rPr>
        <w:t xml:space="preserve"> between the </w:t>
      </w:r>
      <w:r>
        <w:rPr>
          <w:rFonts w:cs="Times New Roman"/>
          <w:sz w:val="24"/>
        </w:rPr>
        <w:t xml:space="preserve">Horizon Community Health </w:t>
      </w:r>
      <w:r w:rsidR="0016639F">
        <w:rPr>
          <w:rFonts w:cs="Times New Roman"/>
          <w:sz w:val="24"/>
        </w:rPr>
        <w:t>Board area</w:t>
      </w:r>
      <w:r>
        <w:rPr>
          <w:rFonts w:cs="Times New Roman"/>
          <w:sz w:val="24"/>
        </w:rPr>
        <w:t xml:space="preserve"> and Minnesota has </w:t>
      </w:r>
      <w:r w:rsidRPr="005D3CC7">
        <w:rPr>
          <w:rFonts w:cs="Times New Roman"/>
          <w:sz w:val="24"/>
        </w:rPr>
        <w:t>been decreasing</w:t>
      </w:r>
      <w:r>
        <w:rPr>
          <w:rFonts w:cs="Times New Roman"/>
          <w:sz w:val="24"/>
        </w:rPr>
        <w:t>;</w:t>
      </w:r>
      <w:r w:rsidRPr="005D3CC7">
        <w:rPr>
          <w:rFonts w:cs="Times New Roman"/>
          <w:sz w:val="24"/>
        </w:rPr>
        <w:t xml:space="preserve"> in 1991-1995 there was a rate difference of 22</w:t>
      </w:r>
      <w:r>
        <w:rPr>
          <w:rFonts w:cs="Times New Roman"/>
          <w:sz w:val="24"/>
        </w:rPr>
        <w:t xml:space="preserve"> deaths</w:t>
      </w:r>
      <w:r w:rsidRPr="005D3CC7">
        <w:rPr>
          <w:rFonts w:cs="Times New Roman"/>
          <w:sz w:val="24"/>
        </w:rPr>
        <w:t xml:space="preserve"> between the </w:t>
      </w:r>
      <w:r w:rsidR="0016639F">
        <w:rPr>
          <w:rFonts w:cs="Times New Roman"/>
          <w:sz w:val="24"/>
        </w:rPr>
        <w:t>Horizon counties</w:t>
      </w:r>
      <w:r w:rsidRPr="005D3CC7">
        <w:rPr>
          <w:rFonts w:cs="Times New Roman"/>
          <w:sz w:val="24"/>
        </w:rPr>
        <w:t xml:space="preserve"> and Minnesota</w:t>
      </w:r>
      <w:r>
        <w:rPr>
          <w:rFonts w:cs="Times New Roman"/>
          <w:sz w:val="24"/>
        </w:rPr>
        <w:t>,</w:t>
      </w:r>
      <w:r w:rsidRPr="005D3CC7">
        <w:rPr>
          <w:rFonts w:cs="Times New Roman"/>
          <w:sz w:val="24"/>
        </w:rPr>
        <w:t xml:space="preserve"> and in 2006-2010 t</w:t>
      </w:r>
      <w:r>
        <w:rPr>
          <w:rFonts w:cs="Times New Roman"/>
          <w:sz w:val="24"/>
        </w:rPr>
        <w:t>he rate difference declined to nine deaths</w:t>
      </w:r>
      <w:r w:rsidRPr="005D3CC7">
        <w:rPr>
          <w:rFonts w:cs="Times New Roman"/>
          <w:sz w:val="24"/>
        </w:rPr>
        <w:t xml:space="preserve">.  </w:t>
      </w:r>
    </w:p>
    <w:p w:rsidR="00FC2371" w:rsidRPr="00634EDD" w:rsidRDefault="005A46BD" w:rsidP="005A46BD">
      <w:pPr>
        <w:rPr>
          <w:rFonts w:cs="Times New Roman"/>
          <w:sz w:val="24"/>
        </w:rPr>
      </w:pPr>
      <w:r w:rsidRPr="005D3CC7">
        <w:rPr>
          <w:rFonts w:cs="Times New Roman"/>
          <w:sz w:val="24"/>
        </w:rPr>
        <w:t xml:space="preserve">The death rate for </w:t>
      </w:r>
      <w:r>
        <w:rPr>
          <w:rFonts w:cs="Times New Roman"/>
          <w:sz w:val="24"/>
        </w:rPr>
        <w:t>s</w:t>
      </w:r>
      <w:r w:rsidRPr="005D3CC7">
        <w:rPr>
          <w:rFonts w:cs="Times New Roman"/>
          <w:sz w:val="24"/>
        </w:rPr>
        <w:t xml:space="preserve">trokes has slightly declined throughout the years – Minnesota has had a rate decline </w:t>
      </w:r>
      <w:r>
        <w:rPr>
          <w:rFonts w:cs="Times New Roman"/>
          <w:sz w:val="24"/>
        </w:rPr>
        <w:t>of</w:t>
      </w:r>
      <w:r w:rsidRPr="005D3CC7">
        <w:rPr>
          <w:rFonts w:cs="Times New Roman"/>
          <w:sz w:val="24"/>
        </w:rPr>
        <w:t xml:space="preserve"> 30 deaths and the </w:t>
      </w:r>
      <w:r>
        <w:rPr>
          <w:rFonts w:cs="Times New Roman"/>
          <w:sz w:val="24"/>
        </w:rPr>
        <w:t xml:space="preserve">Horizon Community Health </w:t>
      </w:r>
      <w:r w:rsidR="0016639F">
        <w:rPr>
          <w:rFonts w:cs="Times New Roman"/>
          <w:sz w:val="24"/>
        </w:rPr>
        <w:t>Board area</w:t>
      </w:r>
      <w:r w:rsidRPr="005D3CC7">
        <w:rPr>
          <w:rFonts w:cs="Times New Roman"/>
          <w:sz w:val="24"/>
        </w:rPr>
        <w:t xml:space="preserve"> has had a rate decline of 20 deaths.  The </w:t>
      </w:r>
      <w:r>
        <w:rPr>
          <w:rFonts w:cs="Times New Roman"/>
          <w:sz w:val="24"/>
        </w:rPr>
        <w:t xml:space="preserve">Horizon Community Health </w:t>
      </w:r>
      <w:r w:rsidR="0016639F">
        <w:rPr>
          <w:rFonts w:cs="Times New Roman"/>
          <w:sz w:val="24"/>
        </w:rPr>
        <w:t>Board area</w:t>
      </w:r>
      <w:r>
        <w:rPr>
          <w:rFonts w:cs="Times New Roman"/>
          <w:sz w:val="24"/>
        </w:rPr>
        <w:t xml:space="preserve"> rate of death caused by strokes</w:t>
      </w:r>
      <w:r w:rsidRPr="005D3CC7">
        <w:rPr>
          <w:rFonts w:cs="Times New Roman"/>
          <w:sz w:val="24"/>
        </w:rPr>
        <w:t xml:space="preserve"> has remained lower than </w:t>
      </w:r>
      <w:r>
        <w:rPr>
          <w:rFonts w:cs="Times New Roman"/>
          <w:sz w:val="24"/>
        </w:rPr>
        <w:t xml:space="preserve">the state of </w:t>
      </w:r>
      <w:r w:rsidRPr="005D3CC7">
        <w:rPr>
          <w:rFonts w:cs="Times New Roman"/>
          <w:sz w:val="24"/>
        </w:rPr>
        <w:t>Minnesota throughout the</w:t>
      </w:r>
      <w:r>
        <w:rPr>
          <w:rFonts w:cs="Times New Roman"/>
          <w:sz w:val="24"/>
        </w:rPr>
        <w:t xml:space="preserve"> past few decades</w:t>
      </w:r>
      <w:r w:rsidRPr="005D3CC7">
        <w:rPr>
          <w:rFonts w:cs="Times New Roman"/>
          <w:sz w:val="24"/>
        </w:rPr>
        <w:t xml:space="preserve"> by an average of 5 deaths per 1</w:t>
      </w:r>
      <w:r w:rsidR="00634EDD">
        <w:rPr>
          <w:rFonts w:cs="Times New Roman"/>
          <w:sz w:val="24"/>
        </w:rPr>
        <w:t>00,000 residents.</w:t>
      </w:r>
    </w:p>
    <w:p w:rsidR="004F576E" w:rsidRDefault="004F576E" w:rsidP="005A46BD">
      <w:pPr>
        <w:rPr>
          <w:b/>
          <w:i/>
          <w:sz w:val="24"/>
        </w:rPr>
      </w:pPr>
    </w:p>
    <w:p w:rsidR="004F576E" w:rsidRDefault="004F576E" w:rsidP="005A46BD">
      <w:pPr>
        <w:rPr>
          <w:b/>
          <w:i/>
          <w:sz w:val="24"/>
        </w:rPr>
      </w:pPr>
    </w:p>
    <w:p w:rsidR="004F576E" w:rsidRDefault="004F576E" w:rsidP="005A46BD">
      <w:pPr>
        <w:rPr>
          <w:b/>
          <w:i/>
          <w:sz w:val="24"/>
        </w:rPr>
      </w:pPr>
    </w:p>
    <w:p w:rsidR="004F576E" w:rsidRDefault="004F576E" w:rsidP="005A46BD">
      <w:pPr>
        <w:rPr>
          <w:b/>
          <w:i/>
          <w:sz w:val="24"/>
        </w:rPr>
      </w:pPr>
    </w:p>
    <w:p w:rsidR="005A46BD" w:rsidRPr="00073FA5" w:rsidRDefault="005A46BD" w:rsidP="005A46BD">
      <w:pPr>
        <w:rPr>
          <w:b/>
          <w:i/>
          <w:sz w:val="24"/>
        </w:rPr>
      </w:pPr>
      <w:r w:rsidRPr="00073FA5">
        <w:rPr>
          <w:b/>
          <w:i/>
          <w:sz w:val="24"/>
        </w:rPr>
        <w:lastRenderedPageBreak/>
        <w:t xml:space="preserve">Leading Causes of Death in Minnesota </w:t>
      </w:r>
    </w:p>
    <w:p w:rsidR="005A46BD" w:rsidRDefault="005A46BD" w:rsidP="005A46BD">
      <w:pPr>
        <w:spacing w:after="0"/>
        <w:rPr>
          <w:b/>
          <w:i/>
          <w:sz w:val="24"/>
        </w:rPr>
      </w:pPr>
      <w:r>
        <w:rPr>
          <w:noProof/>
        </w:rPr>
        <w:drawing>
          <wp:inline distT="0" distB="0" distL="0" distR="0" wp14:anchorId="3C10054B" wp14:editId="4DA7ECF4">
            <wp:extent cx="6496050" cy="22479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A46BD" w:rsidRPr="005E126D" w:rsidRDefault="005A46BD" w:rsidP="005A46BD">
      <w:pPr>
        <w:rPr>
          <w:rFonts w:cs="Times New Roman"/>
          <w:sz w:val="24"/>
        </w:rPr>
      </w:pPr>
      <w:r>
        <w:rPr>
          <w:rFonts w:cs="Times New Roman"/>
          <w:sz w:val="24"/>
        </w:rPr>
        <w:t xml:space="preserve">The following tables provide the leading causes of death by age group from 2003 – 2010. </w:t>
      </w:r>
      <w:r w:rsidRPr="005D3CC7">
        <w:rPr>
          <w:rFonts w:cs="Times New Roman"/>
          <w:sz w:val="24"/>
        </w:rPr>
        <w:t xml:space="preserve">Cancer, </w:t>
      </w:r>
      <w:r>
        <w:rPr>
          <w:rFonts w:cs="Times New Roman"/>
          <w:sz w:val="24"/>
        </w:rPr>
        <w:t>h</w:t>
      </w:r>
      <w:r w:rsidRPr="005D3CC7">
        <w:rPr>
          <w:rFonts w:cs="Times New Roman"/>
          <w:sz w:val="24"/>
        </w:rPr>
        <w:t xml:space="preserve">eart </w:t>
      </w:r>
      <w:r>
        <w:rPr>
          <w:rFonts w:cs="Times New Roman"/>
          <w:sz w:val="24"/>
        </w:rPr>
        <w:t>d</w:t>
      </w:r>
      <w:r w:rsidRPr="005D3CC7">
        <w:rPr>
          <w:rFonts w:cs="Times New Roman"/>
          <w:sz w:val="24"/>
        </w:rPr>
        <w:t xml:space="preserve">isease, and </w:t>
      </w:r>
      <w:r>
        <w:rPr>
          <w:rFonts w:cs="Times New Roman"/>
          <w:sz w:val="24"/>
        </w:rPr>
        <w:t>s</w:t>
      </w:r>
      <w:r w:rsidRPr="005D3CC7">
        <w:rPr>
          <w:rFonts w:cs="Times New Roman"/>
          <w:sz w:val="24"/>
        </w:rPr>
        <w:t xml:space="preserve">troke are the leading causes of death in Minnesota through the years 2003 to 2010.  This trend is similar for the </w:t>
      </w:r>
      <w:r>
        <w:rPr>
          <w:rFonts w:cs="Times New Roman"/>
          <w:sz w:val="24"/>
        </w:rPr>
        <w:t xml:space="preserve">Horizon Community Health </w:t>
      </w:r>
      <w:r w:rsidR="0016639F">
        <w:rPr>
          <w:rFonts w:cs="Times New Roman"/>
          <w:sz w:val="24"/>
        </w:rPr>
        <w:t>Board area</w:t>
      </w:r>
      <w:r>
        <w:rPr>
          <w:rFonts w:cs="Times New Roman"/>
          <w:sz w:val="24"/>
        </w:rPr>
        <w:t xml:space="preserve"> </w:t>
      </w:r>
      <w:r w:rsidRPr="005D3CC7">
        <w:rPr>
          <w:rFonts w:cs="Times New Roman"/>
          <w:sz w:val="24"/>
        </w:rPr>
        <w:t xml:space="preserve">– </w:t>
      </w:r>
      <w:r>
        <w:rPr>
          <w:rFonts w:cs="Times New Roman"/>
          <w:sz w:val="24"/>
        </w:rPr>
        <w:t>c</w:t>
      </w:r>
      <w:r w:rsidRPr="005D3CC7">
        <w:rPr>
          <w:rFonts w:cs="Times New Roman"/>
          <w:sz w:val="24"/>
        </w:rPr>
        <w:t xml:space="preserve">ancer, </w:t>
      </w:r>
      <w:r>
        <w:rPr>
          <w:rFonts w:cs="Times New Roman"/>
          <w:sz w:val="24"/>
        </w:rPr>
        <w:t>heart disease and stroke lead</w:t>
      </w:r>
      <w:r w:rsidRPr="005D3CC7">
        <w:rPr>
          <w:rFonts w:cs="Times New Roman"/>
          <w:sz w:val="24"/>
        </w:rPr>
        <w:t xml:space="preserve"> in the causes of death through the years 2003 and 2010.  Cancer and </w:t>
      </w:r>
      <w:r>
        <w:rPr>
          <w:rFonts w:cs="Times New Roman"/>
          <w:sz w:val="24"/>
        </w:rPr>
        <w:t>h</w:t>
      </w:r>
      <w:r w:rsidRPr="005D3CC7">
        <w:rPr>
          <w:rFonts w:cs="Times New Roman"/>
          <w:sz w:val="24"/>
        </w:rPr>
        <w:t xml:space="preserve">eart </w:t>
      </w:r>
      <w:r>
        <w:rPr>
          <w:rFonts w:cs="Times New Roman"/>
          <w:sz w:val="24"/>
        </w:rPr>
        <w:t>d</w:t>
      </w:r>
      <w:r w:rsidRPr="005D3CC7">
        <w:rPr>
          <w:rFonts w:cs="Times New Roman"/>
          <w:sz w:val="24"/>
        </w:rPr>
        <w:t xml:space="preserve">isease lead </w:t>
      </w:r>
      <w:r>
        <w:rPr>
          <w:rFonts w:cs="Times New Roman"/>
          <w:sz w:val="24"/>
        </w:rPr>
        <w:t>s</w:t>
      </w:r>
      <w:r w:rsidRPr="005D3CC7">
        <w:rPr>
          <w:rFonts w:cs="Times New Roman"/>
          <w:sz w:val="24"/>
        </w:rPr>
        <w:t>troke in the number of deaths by 1,000 de</w:t>
      </w:r>
      <w:r>
        <w:rPr>
          <w:rFonts w:cs="Times New Roman"/>
          <w:sz w:val="24"/>
        </w:rPr>
        <w:t>aths, and heart disease leads c</w:t>
      </w:r>
      <w:r w:rsidRPr="005D3CC7">
        <w:rPr>
          <w:rFonts w:cs="Times New Roman"/>
          <w:sz w:val="24"/>
        </w:rPr>
        <w:t xml:space="preserve">ancer by </w:t>
      </w:r>
      <w:r w:rsidRPr="00BE167C">
        <w:rPr>
          <w:rFonts w:cs="Times New Roman"/>
          <w:sz w:val="24"/>
        </w:rPr>
        <w:t xml:space="preserve">approximately </w:t>
      </w:r>
      <w:r>
        <w:rPr>
          <w:rFonts w:cs="Times New Roman"/>
          <w:sz w:val="24"/>
        </w:rPr>
        <w:t>100 deaths.</w:t>
      </w:r>
    </w:p>
    <w:p w:rsidR="005A46BD" w:rsidRDefault="005A46BD" w:rsidP="005A46BD">
      <w:pPr>
        <w:spacing w:after="0"/>
        <w:rPr>
          <w:b/>
          <w:i/>
          <w:sz w:val="24"/>
        </w:rPr>
      </w:pPr>
      <w:r>
        <w:rPr>
          <w:b/>
          <w:i/>
          <w:sz w:val="24"/>
        </w:rPr>
        <w:t xml:space="preserve">Leading causes of death </w:t>
      </w:r>
      <w:r w:rsidRPr="00073FA5">
        <w:rPr>
          <w:b/>
          <w:i/>
          <w:sz w:val="24"/>
        </w:rPr>
        <w:t>by age group: 2003-2010</w:t>
      </w:r>
    </w:p>
    <w:p w:rsidR="005A46BD" w:rsidRDefault="005A46BD" w:rsidP="005A46BD">
      <w:pPr>
        <w:pStyle w:val="NoSpacing"/>
        <w:rPr>
          <w:i/>
          <w:color w:val="7F7F7F" w:themeColor="text1" w:themeTint="80"/>
          <w:sz w:val="18"/>
        </w:rPr>
      </w:pPr>
      <w:r>
        <w:rPr>
          <w:i/>
          <w:color w:val="7F7F7F" w:themeColor="text1" w:themeTint="80"/>
          <w:sz w:val="18"/>
        </w:rPr>
        <w:t>Source: Minnesota Department of Health, Center for Health Statistics</w:t>
      </w:r>
    </w:p>
    <w:p w:rsidR="005A46BD" w:rsidRPr="001B5FEA" w:rsidRDefault="005A46BD" w:rsidP="005A46BD">
      <w:pPr>
        <w:pStyle w:val="NoSpacing"/>
        <w:rPr>
          <w:i/>
          <w:color w:val="7F7F7F" w:themeColor="text1" w:themeTint="80"/>
          <w:sz w:val="18"/>
        </w:rPr>
      </w:pPr>
    </w:p>
    <w:tbl>
      <w:tblPr>
        <w:tblW w:w="9530" w:type="dxa"/>
        <w:jc w:val="center"/>
        <w:tblLook w:val="04A0" w:firstRow="1" w:lastRow="0" w:firstColumn="1" w:lastColumn="0" w:noHBand="0" w:noVBand="1"/>
      </w:tblPr>
      <w:tblGrid>
        <w:gridCol w:w="3235"/>
        <w:gridCol w:w="644"/>
        <w:gridCol w:w="683"/>
        <w:gridCol w:w="692"/>
        <w:gridCol w:w="807"/>
        <w:gridCol w:w="807"/>
        <w:gridCol w:w="807"/>
        <w:gridCol w:w="946"/>
        <w:gridCol w:w="1040"/>
      </w:tblGrid>
      <w:tr w:rsidR="005A46BD" w:rsidRPr="005E126D" w:rsidTr="00E33B1E">
        <w:trPr>
          <w:trHeight w:val="255"/>
          <w:jc w:val="center"/>
        </w:trPr>
        <w:tc>
          <w:tcPr>
            <w:tcW w:w="3235" w:type="dxa"/>
            <w:tcBorders>
              <w:top w:val="nil"/>
              <w:left w:val="nil"/>
              <w:bottom w:val="nil"/>
              <w:right w:val="nil"/>
            </w:tcBorders>
            <w:shd w:val="clear" w:color="auto" w:fill="DBDBDB" w:themeFill="accent3" w:themeFillTint="66"/>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sz w:val="19"/>
                <w:szCs w:val="19"/>
              </w:rPr>
            </w:pPr>
            <w:r w:rsidRPr="005E126D">
              <w:rPr>
                <w:rFonts w:ascii="Times New Roman" w:eastAsia="Times New Roman" w:hAnsi="Times New Roman" w:cs="Times New Roman"/>
                <w:b/>
                <w:sz w:val="19"/>
                <w:szCs w:val="19"/>
              </w:rPr>
              <w:t>Minnesota</w:t>
            </w:r>
          </w:p>
        </w:tc>
        <w:tc>
          <w:tcPr>
            <w:tcW w:w="6295" w:type="dxa"/>
            <w:gridSpan w:val="8"/>
            <w:tcBorders>
              <w:top w:val="nil"/>
              <w:left w:val="nil"/>
              <w:bottom w:val="nil"/>
              <w:right w:val="nil"/>
            </w:tcBorders>
            <w:shd w:val="clear" w:color="000000"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color w:val="FFFFFF"/>
                <w:sz w:val="19"/>
                <w:szCs w:val="19"/>
              </w:rPr>
            </w:pPr>
            <w:r w:rsidRPr="005E126D">
              <w:rPr>
                <w:rFonts w:ascii="Times New Roman" w:eastAsia="Times New Roman" w:hAnsi="Times New Roman" w:cs="Times New Roman"/>
                <w:color w:val="FFFFFF"/>
                <w:sz w:val="19"/>
                <w:szCs w:val="19"/>
              </w:rPr>
              <w:t>Age Groups</w:t>
            </w:r>
          </w:p>
        </w:tc>
      </w:tr>
      <w:tr w:rsidR="005A46BD" w:rsidRPr="005E126D" w:rsidTr="00E33B1E">
        <w:trPr>
          <w:trHeight w:val="270"/>
          <w:jc w:val="center"/>
        </w:trPr>
        <w:tc>
          <w:tcPr>
            <w:tcW w:w="3235" w:type="dxa"/>
            <w:tcBorders>
              <w:top w:val="single" w:sz="8" w:space="0" w:color="auto"/>
              <w:left w:val="single" w:sz="8" w:space="0" w:color="auto"/>
              <w:bottom w:val="single" w:sz="8" w:space="0" w:color="auto"/>
              <w:right w:val="nil"/>
            </w:tcBorders>
            <w:shd w:val="clear" w:color="9BBB59" w:fill="9BBB59"/>
            <w:noWrap/>
            <w:vAlign w:val="bottom"/>
            <w:hideMark/>
          </w:tcPr>
          <w:p w:rsidR="005A46BD" w:rsidRPr="005E126D" w:rsidRDefault="005A46BD" w:rsidP="00E33B1E">
            <w:pPr>
              <w:spacing w:after="0" w:line="240" w:lineRule="auto"/>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Cause</w:t>
            </w:r>
          </w:p>
        </w:tc>
        <w:tc>
          <w:tcPr>
            <w:tcW w:w="513"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0-4</w:t>
            </w:r>
          </w:p>
        </w:tc>
        <w:tc>
          <w:tcPr>
            <w:tcW w:w="683"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5-14</w:t>
            </w:r>
          </w:p>
        </w:tc>
        <w:tc>
          <w:tcPr>
            <w:tcW w:w="692"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15-24</w:t>
            </w:r>
          </w:p>
        </w:tc>
        <w:tc>
          <w:tcPr>
            <w:tcW w:w="807"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25-44</w:t>
            </w:r>
          </w:p>
        </w:tc>
        <w:tc>
          <w:tcPr>
            <w:tcW w:w="807"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45-64</w:t>
            </w:r>
          </w:p>
        </w:tc>
        <w:tc>
          <w:tcPr>
            <w:tcW w:w="807"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65-74</w:t>
            </w:r>
          </w:p>
        </w:tc>
        <w:tc>
          <w:tcPr>
            <w:tcW w:w="946"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75+</w:t>
            </w:r>
          </w:p>
        </w:tc>
        <w:tc>
          <w:tcPr>
            <w:tcW w:w="1040"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All Ages</w:t>
            </w:r>
          </w:p>
        </w:tc>
      </w:tr>
      <w:tr w:rsidR="005A46BD" w:rsidRPr="005E126D" w:rsidTr="00E33B1E">
        <w:trPr>
          <w:trHeight w:val="60"/>
          <w:jc w:val="center"/>
        </w:trPr>
        <w:tc>
          <w:tcPr>
            <w:tcW w:w="3235" w:type="dxa"/>
            <w:tcBorders>
              <w:top w:val="single" w:sz="4" w:space="0" w:color="C4D79B"/>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AIDS/HIV</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167</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198</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26</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400</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Alzheimer's Disease</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133</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453</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9,854</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10,426</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Atherosclerosis</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46</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60</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588</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697</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Cancer</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64</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121</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215</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2,006</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18,231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17,423</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35,882</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73,937</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Cirrhosis</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311</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1,545</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512</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509</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2,884</w:t>
            </w:r>
          </w:p>
        </w:tc>
      </w:tr>
      <w:tr w:rsidR="005A46BD" w:rsidRPr="005E126D" w:rsidTr="00E33B1E">
        <w:trPr>
          <w:trHeight w:val="8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Congenital Anomalies</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833</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51</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53</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137</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257</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65</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114</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1,508</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Chronic Lower Respiratory Disease</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99</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1,489</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3,095</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10,472</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15,193</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Diabetes</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262</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1,666</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1,639</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5,456</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9,043</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Heart Disease</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61</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24</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109</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1,275</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8,277</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7,364</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43,761</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60,863</w:t>
            </w:r>
          </w:p>
        </w:tc>
      </w:tr>
      <w:tr w:rsidR="005A46BD" w:rsidRPr="005E126D" w:rsidTr="00E33B1E">
        <w:trPr>
          <w:trHeight w:val="107"/>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Homicide</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64</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24</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303</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361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175</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27</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23</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977</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Hypertension</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36</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390</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514</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2,849</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3,789</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Nephritis</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65</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472</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700</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4,705</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5,972</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Perinatal Conditions</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1,238</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1,264</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Pneumonia and Influenza</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41</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368</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395</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4,698</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5,609</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Septicemia</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18</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80</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426</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388</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1,477</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2,399</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SIDS</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272</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273</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Stroke</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26</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31</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253</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1,466</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1,919</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14,316</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18,027</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Suicide</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53</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687</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1,592</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1,582</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233</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317</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4,457</w:t>
            </w:r>
          </w:p>
        </w:tc>
      </w:tr>
      <w:tr w:rsidR="005A46BD" w:rsidRPr="005E126D" w:rsidTr="00E33B1E">
        <w:trPr>
          <w:trHeight w:val="70"/>
          <w:jc w:val="center"/>
        </w:trPr>
        <w:tc>
          <w:tcPr>
            <w:tcW w:w="3235"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Unintentional Injury</w:t>
            </w:r>
          </w:p>
        </w:tc>
        <w:tc>
          <w:tcPr>
            <w:tcW w:w="51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315</w:t>
            </w:r>
          </w:p>
        </w:tc>
        <w:tc>
          <w:tcPr>
            <w:tcW w:w="68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256</w:t>
            </w:r>
          </w:p>
        </w:tc>
        <w:tc>
          <w:tcPr>
            <w:tcW w:w="692"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1,527</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2,872</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3,430</w:t>
            </w:r>
          </w:p>
        </w:tc>
        <w:tc>
          <w:tcPr>
            <w:tcW w:w="807"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1,097</w:t>
            </w:r>
          </w:p>
        </w:tc>
        <w:tc>
          <w:tcPr>
            <w:tcW w:w="94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6,276</w:t>
            </w:r>
          </w:p>
        </w:tc>
        <w:tc>
          <w:tcPr>
            <w:tcW w:w="104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15,776</w:t>
            </w:r>
          </w:p>
        </w:tc>
      </w:tr>
      <w:tr w:rsidR="005A46BD" w:rsidRPr="005E126D" w:rsidTr="00E33B1E">
        <w:trPr>
          <w:trHeight w:val="70"/>
          <w:jc w:val="center"/>
        </w:trPr>
        <w:tc>
          <w:tcPr>
            <w:tcW w:w="3235" w:type="dxa"/>
            <w:tcBorders>
              <w:top w:val="single" w:sz="4" w:space="0" w:color="auto"/>
              <w:left w:val="single" w:sz="8" w:space="0" w:color="auto"/>
              <w:bottom w:val="single" w:sz="4" w:space="0" w:color="C4D79B"/>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 xml:space="preserve">Other </w:t>
            </w:r>
          </w:p>
        </w:tc>
        <w:tc>
          <w:tcPr>
            <w:tcW w:w="51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427</w:t>
            </w:r>
          </w:p>
        </w:tc>
        <w:tc>
          <w:tcPr>
            <w:tcW w:w="68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162</w:t>
            </w:r>
          </w:p>
        </w:tc>
        <w:tc>
          <w:tcPr>
            <w:tcW w:w="692"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389</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1,919</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7,921</w:t>
            </w:r>
          </w:p>
        </w:tc>
        <w:tc>
          <w:tcPr>
            <w:tcW w:w="807"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7,400</w:t>
            </w:r>
          </w:p>
        </w:tc>
        <w:tc>
          <w:tcPr>
            <w:tcW w:w="94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49,505</w:t>
            </w:r>
          </w:p>
        </w:tc>
        <w:tc>
          <w:tcPr>
            <w:tcW w:w="104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67,757</w:t>
            </w:r>
          </w:p>
        </w:tc>
      </w:tr>
      <w:tr w:rsidR="005A46BD" w:rsidRPr="005E126D" w:rsidTr="00E33B1E">
        <w:trPr>
          <w:trHeight w:val="60"/>
          <w:jc w:val="center"/>
        </w:trPr>
        <w:tc>
          <w:tcPr>
            <w:tcW w:w="3235" w:type="dxa"/>
            <w:tcBorders>
              <w:top w:val="single" w:sz="8" w:space="0" w:color="auto"/>
              <w:left w:val="single" w:sz="8" w:space="0" w:color="auto"/>
              <w:bottom w:val="single" w:sz="8"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Total</w:t>
            </w:r>
          </w:p>
        </w:tc>
        <w:tc>
          <w:tcPr>
            <w:tcW w:w="513"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3,386</w:t>
            </w:r>
          </w:p>
        </w:tc>
        <w:tc>
          <w:tcPr>
            <w:tcW w:w="683"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746</w:t>
            </w:r>
          </w:p>
        </w:tc>
        <w:tc>
          <w:tcPr>
            <w:tcW w:w="692"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3,395</w:t>
            </w:r>
          </w:p>
        </w:tc>
        <w:tc>
          <w:tcPr>
            <w:tcW w:w="807"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11,531</w:t>
            </w:r>
          </w:p>
        </w:tc>
        <w:tc>
          <w:tcPr>
            <w:tcW w:w="807"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48,075</w:t>
            </w:r>
          </w:p>
        </w:tc>
        <w:tc>
          <w:tcPr>
            <w:tcW w:w="807"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43,311</w:t>
            </w:r>
          </w:p>
        </w:tc>
        <w:tc>
          <w:tcPr>
            <w:tcW w:w="946"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190,807</w:t>
            </w:r>
          </w:p>
        </w:tc>
        <w:tc>
          <w:tcPr>
            <w:tcW w:w="1040" w:type="dxa"/>
            <w:tcBorders>
              <w:top w:val="single" w:sz="4" w:space="0" w:color="C4D79B"/>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301,251</w:t>
            </w:r>
          </w:p>
        </w:tc>
      </w:tr>
    </w:tbl>
    <w:p w:rsidR="005A46BD" w:rsidRDefault="005A46BD" w:rsidP="005A46BD">
      <w:pPr>
        <w:pStyle w:val="NoSpacing"/>
        <w:rPr>
          <w:b/>
          <w:i/>
          <w:sz w:val="24"/>
        </w:rPr>
      </w:pPr>
    </w:p>
    <w:p w:rsidR="0016639F" w:rsidRDefault="0016639F" w:rsidP="005A46BD">
      <w:pPr>
        <w:pStyle w:val="NoSpacing"/>
        <w:rPr>
          <w:b/>
          <w:i/>
          <w:sz w:val="24"/>
        </w:rPr>
      </w:pPr>
    </w:p>
    <w:p w:rsidR="00634EDD" w:rsidRDefault="00634EDD" w:rsidP="005A46BD">
      <w:pPr>
        <w:pStyle w:val="NoSpacing"/>
        <w:rPr>
          <w:b/>
          <w:i/>
          <w:sz w:val="24"/>
        </w:rPr>
      </w:pPr>
    </w:p>
    <w:p w:rsidR="00634EDD" w:rsidRPr="00073FA5" w:rsidRDefault="00634EDD" w:rsidP="005A46BD">
      <w:pPr>
        <w:pStyle w:val="NoSpacing"/>
        <w:rPr>
          <w:b/>
          <w:i/>
          <w:sz w:val="24"/>
        </w:rPr>
      </w:pPr>
    </w:p>
    <w:tbl>
      <w:tblPr>
        <w:tblW w:w="9630" w:type="dxa"/>
        <w:jc w:val="center"/>
        <w:tblLook w:val="04A0" w:firstRow="1" w:lastRow="0" w:firstColumn="1" w:lastColumn="0" w:noHBand="0" w:noVBand="1"/>
      </w:tblPr>
      <w:tblGrid>
        <w:gridCol w:w="3204"/>
        <w:gridCol w:w="675"/>
        <w:gridCol w:w="684"/>
        <w:gridCol w:w="693"/>
        <w:gridCol w:w="810"/>
        <w:gridCol w:w="801"/>
        <w:gridCol w:w="801"/>
        <w:gridCol w:w="936"/>
        <w:gridCol w:w="1026"/>
      </w:tblGrid>
      <w:tr w:rsidR="005A46BD" w:rsidRPr="005E126D" w:rsidTr="00E33B1E">
        <w:trPr>
          <w:trHeight w:val="255"/>
          <w:jc w:val="center"/>
        </w:trPr>
        <w:tc>
          <w:tcPr>
            <w:tcW w:w="3204" w:type="dxa"/>
            <w:tcBorders>
              <w:top w:val="nil"/>
              <w:left w:val="nil"/>
              <w:bottom w:val="nil"/>
              <w:right w:val="nil"/>
            </w:tcBorders>
            <w:shd w:val="clear" w:color="auto" w:fill="DBDBDB" w:themeFill="accent3" w:themeFillTint="66"/>
            <w:noWrap/>
            <w:vAlign w:val="bottom"/>
            <w:hideMark/>
          </w:tcPr>
          <w:p w:rsidR="005A46BD" w:rsidRPr="005E126D" w:rsidRDefault="005A46BD" w:rsidP="00F816A6">
            <w:pPr>
              <w:spacing w:after="0" w:line="240" w:lineRule="auto"/>
              <w:jc w:val="center"/>
              <w:rPr>
                <w:rFonts w:ascii="Times New Roman" w:eastAsia="Times New Roman" w:hAnsi="Times New Roman" w:cs="Times New Roman"/>
                <w:b/>
                <w:sz w:val="19"/>
                <w:szCs w:val="19"/>
              </w:rPr>
            </w:pPr>
            <w:r w:rsidRPr="005E126D">
              <w:rPr>
                <w:rFonts w:ascii="Times New Roman" w:eastAsia="Times New Roman" w:hAnsi="Times New Roman" w:cs="Times New Roman"/>
                <w:b/>
                <w:sz w:val="19"/>
                <w:szCs w:val="19"/>
              </w:rPr>
              <w:lastRenderedPageBreak/>
              <w:t xml:space="preserve">Horizon Comm. Health </w:t>
            </w:r>
            <w:r w:rsidR="00F816A6">
              <w:rPr>
                <w:rFonts w:ascii="Times New Roman" w:eastAsia="Times New Roman" w:hAnsi="Times New Roman" w:cs="Times New Roman"/>
                <w:b/>
                <w:sz w:val="19"/>
                <w:szCs w:val="19"/>
              </w:rPr>
              <w:t>Board</w:t>
            </w:r>
          </w:p>
        </w:tc>
        <w:tc>
          <w:tcPr>
            <w:tcW w:w="6426" w:type="dxa"/>
            <w:gridSpan w:val="8"/>
            <w:tcBorders>
              <w:top w:val="nil"/>
              <w:left w:val="nil"/>
              <w:bottom w:val="nil"/>
              <w:right w:val="nil"/>
            </w:tcBorders>
            <w:shd w:val="clear" w:color="000000"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color w:val="FFFFFF"/>
                <w:sz w:val="19"/>
                <w:szCs w:val="19"/>
              </w:rPr>
            </w:pPr>
            <w:r w:rsidRPr="005E126D">
              <w:rPr>
                <w:rFonts w:ascii="Times New Roman" w:eastAsia="Times New Roman" w:hAnsi="Times New Roman" w:cs="Times New Roman"/>
                <w:color w:val="FFFFFF"/>
                <w:sz w:val="19"/>
                <w:szCs w:val="19"/>
              </w:rPr>
              <w:t>Age Groups</w:t>
            </w:r>
          </w:p>
        </w:tc>
      </w:tr>
      <w:tr w:rsidR="005A46BD" w:rsidRPr="005E126D" w:rsidTr="00E33B1E">
        <w:trPr>
          <w:trHeight w:val="270"/>
          <w:jc w:val="center"/>
        </w:trPr>
        <w:tc>
          <w:tcPr>
            <w:tcW w:w="3204" w:type="dxa"/>
            <w:tcBorders>
              <w:top w:val="single" w:sz="8" w:space="0" w:color="auto"/>
              <w:left w:val="single" w:sz="8" w:space="0" w:color="auto"/>
              <w:bottom w:val="single" w:sz="8" w:space="0" w:color="auto"/>
              <w:right w:val="nil"/>
            </w:tcBorders>
            <w:shd w:val="clear" w:color="9BBB59" w:fill="9BBB59"/>
            <w:noWrap/>
            <w:vAlign w:val="bottom"/>
            <w:hideMark/>
          </w:tcPr>
          <w:p w:rsidR="005A46BD" w:rsidRPr="005E126D" w:rsidRDefault="005A46BD" w:rsidP="00E33B1E">
            <w:pPr>
              <w:spacing w:after="0" w:line="240" w:lineRule="auto"/>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Cause</w:t>
            </w:r>
          </w:p>
        </w:tc>
        <w:tc>
          <w:tcPr>
            <w:tcW w:w="675"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0-4</w:t>
            </w:r>
          </w:p>
        </w:tc>
        <w:tc>
          <w:tcPr>
            <w:tcW w:w="684"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5-14</w:t>
            </w:r>
          </w:p>
        </w:tc>
        <w:tc>
          <w:tcPr>
            <w:tcW w:w="693"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15-24</w:t>
            </w:r>
          </w:p>
        </w:tc>
        <w:tc>
          <w:tcPr>
            <w:tcW w:w="810"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25-44</w:t>
            </w:r>
          </w:p>
        </w:tc>
        <w:tc>
          <w:tcPr>
            <w:tcW w:w="801"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45-64</w:t>
            </w:r>
          </w:p>
        </w:tc>
        <w:tc>
          <w:tcPr>
            <w:tcW w:w="801"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65-74</w:t>
            </w:r>
          </w:p>
        </w:tc>
        <w:tc>
          <w:tcPr>
            <w:tcW w:w="936"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75+</w:t>
            </w:r>
          </w:p>
        </w:tc>
        <w:tc>
          <w:tcPr>
            <w:tcW w:w="1026" w:type="dxa"/>
            <w:tcBorders>
              <w:top w:val="single" w:sz="8" w:space="0" w:color="auto"/>
              <w:left w:val="single" w:sz="8" w:space="0" w:color="auto"/>
              <w:bottom w:val="single" w:sz="8" w:space="0" w:color="auto"/>
              <w:right w:val="single" w:sz="8" w:space="0" w:color="auto"/>
            </w:tcBorders>
            <w:shd w:val="clear" w:color="9BBB59" w:fill="9BBB59"/>
            <w:noWrap/>
            <w:vAlign w:val="bottom"/>
            <w:hideMark/>
          </w:tcPr>
          <w:p w:rsidR="005A46BD" w:rsidRPr="005E126D" w:rsidRDefault="005A46BD" w:rsidP="00E33B1E">
            <w:pPr>
              <w:spacing w:after="0" w:line="240" w:lineRule="auto"/>
              <w:jc w:val="center"/>
              <w:rPr>
                <w:rFonts w:ascii="Times New Roman" w:eastAsia="Times New Roman" w:hAnsi="Times New Roman" w:cs="Times New Roman"/>
                <w:b/>
                <w:bCs/>
                <w:color w:val="FFFFFF"/>
                <w:sz w:val="19"/>
                <w:szCs w:val="19"/>
              </w:rPr>
            </w:pPr>
            <w:r w:rsidRPr="005E126D">
              <w:rPr>
                <w:rFonts w:ascii="Times New Roman" w:eastAsia="Times New Roman" w:hAnsi="Times New Roman" w:cs="Times New Roman"/>
                <w:b/>
                <w:bCs/>
                <w:color w:val="FFFFFF"/>
                <w:sz w:val="19"/>
                <w:szCs w:val="19"/>
              </w:rPr>
              <w:t>All Ages</w:t>
            </w:r>
          </w:p>
        </w:tc>
      </w:tr>
      <w:tr w:rsidR="005A46BD" w:rsidRPr="005E126D" w:rsidTr="00E33B1E">
        <w:trPr>
          <w:trHeight w:val="133"/>
          <w:jc w:val="center"/>
        </w:trPr>
        <w:tc>
          <w:tcPr>
            <w:tcW w:w="3204" w:type="dxa"/>
            <w:tcBorders>
              <w:top w:val="single" w:sz="4" w:space="0" w:color="C4D79B"/>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AIDS/HIV</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Alzheimer's Disease</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218</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229</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Atherosclerosis</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17</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21</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Cancer</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21</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259</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294</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745</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1,326</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Cirrhosis</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32</w:t>
            </w:r>
          </w:p>
        </w:tc>
      </w:tr>
      <w:tr w:rsidR="005A46BD" w:rsidRPr="005E126D" w:rsidTr="00E33B1E">
        <w:trPr>
          <w:trHeight w:val="215"/>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Congenital Anomalies</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w:t>
            </w:r>
          </w:p>
        </w:tc>
      </w:tr>
      <w:tr w:rsidR="005A46BD" w:rsidRPr="005E126D" w:rsidTr="00E33B1E">
        <w:trPr>
          <w:trHeight w:val="8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Chronic Lower Respiratory Disease</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46</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193</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259</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Diabetes</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18</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114</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146</w:t>
            </w:r>
          </w:p>
        </w:tc>
      </w:tr>
      <w:tr w:rsidR="005A46BD" w:rsidRPr="005E126D" w:rsidTr="00E33B1E">
        <w:trPr>
          <w:trHeight w:val="107"/>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Heart Disease</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118</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150</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1,138</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1,421</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Homicide</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Hypertension</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49</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62</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Nephritis</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82</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95</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Perinatal Conditions</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Pneumonia and Influenza</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132</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145</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Septicemia</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6</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34</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51</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SIDS</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7</w:t>
            </w:r>
          </w:p>
        </w:tc>
      </w:tr>
      <w:tr w:rsidR="005A46BD" w:rsidRPr="005E126D" w:rsidTr="00E33B1E">
        <w:trPr>
          <w:trHeight w:val="80"/>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Stroke</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24</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34</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318</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379</w:t>
            </w:r>
          </w:p>
        </w:tc>
      </w:tr>
      <w:tr w:rsidR="005A46BD" w:rsidRPr="005E126D" w:rsidTr="00E33B1E">
        <w:trPr>
          <w:trHeight w:val="70"/>
          <w:jc w:val="center"/>
        </w:trPr>
        <w:tc>
          <w:tcPr>
            <w:tcW w:w="3204" w:type="dxa"/>
            <w:tcBorders>
              <w:top w:val="single" w:sz="4" w:space="0" w:color="auto"/>
              <w:left w:val="single" w:sz="8" w:space="0" w:color="auto"/>
              <w:bottom w:val="single" w:sz="4" w:space="0" w:color="auto"/>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Suicide</w:t>
            </w:r>
          </w:p>
        </w:tc>
        <w:tc>
          <w:tcPr>
            <w:tcW w:w="675"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0</w:t>
            </w:r>
          </w:p>
        </w:tc>
        <w:tc>
          <w:tcPr>
            <w:tcW w:w="684"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93"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w:t>
            </w:r>
          </w:p>
        </w:tc>
        <w:tc>
          <w:tcPr>
            <w:tcW w:w="810"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22</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w:t>
            </w:r>
          </w:p>
        </w:tc>
        <w:tc>
          <w:tcPr>
            <w:tcW w:w="801"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93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w:t>
            </w:r>
          </w:p>
        </w:tc>
        <w:tc>
          <w:tcPr>
            <w:tcW w:w="1026" w:type="dxa"/>
            <w:tcBorders>
              <w:top w:val="single" w:sz="4" w:space="0" w:color="C4D79B"/>
              <w:left w:val="single" w:sz="8" w:space="0" w:color="auto"/>
              <w:bottom w:val="single" w:sz="4" w:space="0" w:color="auto"/>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47</w:t>
            </w:r>
          </w:p>
        </w:tc>
      </w:tr>
      <w:tr w:rsidR="005A46BD" w:rsidRPr="005E126D" w:rsidTr="00E33B1E">
        <w:trPr>
          <w:trHeight w:val="98"/>
          <w:jc w:val="center"/>
        </w:trPr>
        <w:tc>
          <w:tcPr>
            <w:tcW w:w="3204" w:type="dxa"/>
            <w:tcBorders>
              <w:top w:val="single" w:sz="4" w:space="0" w:color="auto"/>
              <w:left w:val="single" w:sz="8" w:space="0" w:color="auto"/>
              <w:bottom w:val="single" w:sz="4"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Unintentional Injury</w:t>
            </w:r>
          </w:p>
        </w:tc>
        <w:tc>
          <w:tcPr>
            <w:tcW w:w="675"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w:t>
            </w:r>
          </w:p>
        </w:tc>
        <w:tc>
          <w:tcPr>
            <w:tcW w:w="684"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5</w:t>
            </w:r>
          </w:p>
        </w:tc>
        <w:tc>
          <w:tcPr>
            <w:tcW w:w="693"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26</w:t>
            </w:r>
          </w:p>
        </w:tc>
        <w:tc>
          <w:tcPr>
            <w:tcW w:w="810"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45</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38</w:t>
            </w:r>
          </w:p>
        </w:tc>
        <w:tc>
          <w:tcPr>
            <w:tcW w:w="801"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12</w:t>
            </w:r>
          </w:p>
        </w:tc>
        <w:tc>
          <w:tcPr>
            <w:tcW w:w="93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103</w:t>
            </w:r>
          </w:p>
        </w:tc>
        <w:tc>
          <w:tcPr>
            <w:tcW w:w="1026" w:type="dxa"/>
            <w:tcBorders>
              <w:top w:val="single" w:sz="4" w:space="0" w:color="C4D79B"/>
              <w:left w:val="single" w:sz="8" w:space="0" w:color="auto"/>
              <w:bottom w:val="single" w:sz="4"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232</w:t>
            </w:r>
          </w:p>
        </w:tc>
      </w:tr>
      <w:tr w:rsidR="005A46BD" w:rsidRPr="005E126D" w:rsidTr="00E33B1E">
        <w:trPr>
          <w:trHeight w:val="70"/>
          <w:jc w:val="center"/>
        </w:trPr>
        <w:tc>
          <w:tcPr>
            <w:tcW w:w="3204" w:type="dxa"/>
            <w:tcBorders>
              <w:top w:val="single" w:sz="4" w:space="0" w:color="auto"/>
              <w:left w:val="single" w:sz="8" w:space="0" w:color="auto"/>
              <w:bottom w:val="single" w:sz="4" w:space="0" w:color="C4D79B"/>
              <w:right w:val="nil"/>
            </w:tcBorders>
            <w:shd w:val="clear" w:color="auto" w:fill="auto"/>
            <w:noWrap/>
            <w:vAlign w:val="bottom"/>
            <w:hideMark/>
          </w:tcPr>
          <w:p w:rsidR="005A46BD" w:rsidRPr="005E126D" w:rsidRDefault="005A46BD" w:rsidP="00E33B1E">
            <w:pPr>
              <w:spacing w:after="0" w:line="240" w:lineRule="auto"/>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 xml:space="preserve">Other </w:t>
            </w:r>
          </w:p>
        </w:tc>
        <w:tc>
          <w:tcPr>
            <w:tcW w:w="675"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684"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3</w:t>
            </w:r>
          </w:p>
        </w:tc>
        <w:tc>
          <w:tcPr>
            <w:tcW w:w="693"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9</w:t>
            </w:r>
          </w:p>
        </w:tc>
        <w:tc>
          <w:tcPr>
            <w:tcW w:w="810"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21</w:t>
            </w:r>
          </w:p>
        </w:tc>
        <w:tc>
          <w:tcPr>
            <w:tcW w:w="801"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84</w:t>
            </w:r>
          </w:p>
        </w:tc>
        <w:tc>
          <w:tcPr>
            <w:tcW w:w="801"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104</w:t>
            </w:r>
          </w:p>
        </w:tc>
        <w:tc>
          <w:tcPr>
            <w:tcW w:w="936"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888</w:t>
            </w:r>
          </w:p>
        </w:tc>
        <w:tc>
          <w:tcPr>
            <w:tcW w:w="1026" w:type="dxa"/>
            <w:tcBorders>
              <w:top w:val="single" w:sz="4" w:space="0" w:color="C4D79B"/>
              <w:left w:val="single" w:sz="8" w:space="0" w:color="auto"/>
              <w:bottom w:val="single" w:sz="4" w:space="0" w:color="C4D79B"/>
              <w:right w:val="single" w:sz="8" w:space="0" w:color="auto"/>
            </w:tcBorders>
            <w:shd w:val="clear" w:color="auto" w:fill="auto"/>
            <w:noWrap/>
            <w:vAlign w:val="bottom"/>
            <w:hideMark/>
          </w:tcPr>
          <w:p w:rsidR="005A46BD" w:rsidRPr="005E126D" w:rsidRDefault="005A46BD" w:rsidP="00E33B1E">
            <w:pPr>
              <w:spacing w:after="0" w:line="240" w:lineRule="auto"/>
              <w:jc w:val="right"/>
              <w:rPr>
                <w:rFonts w:ascii="Times New Roman" w:eastAsia="Times New Roman" w:hAnsi="Times New Roman" w:cs="Times New Roman"/>
                <w:color w:val="000000"/>
                <w:sz w:val="19"/>
                <w:szCs w:val="19"/>
              </w:rPr>
            </w:pPr>
            <w:r w:rsidRPr="005E126D">
              <w:rPr>
                <w:rFonts w:ascii="Times New Roman" w:eastAsia="Times New Roman" w:hAnsi="Times New Roman" w:cs="Times New Roman"/>
                <w:color w:val="000000"/>
                <w:sz w:val="19"/>
                <w:szCs w:val="19"/>
              </w:rPr>
              <w:t>1,111</w:t>
            </w:r>
          </w:p>
        </w:tc>
      </w:tr>
      <w:tr w:rsidR="005A46BD" w:rsidRPr="005E126D" w:rsidTr="00E33B1E">
        <w:trPr>
          <w:trHeight w:val="60"/>
          <w:jc w:val="center"/>
        </w:trPr>
        <w:tc>
          <w:tcPr>
            <w:tcW w:w="3204" w:type="dxa"/>
            <w:tcBorders>
              <w:top w:val="single" w:sz="8" w:space="0" w:color="auto"/>
              <w:left w:val="single" w:sz="8" w:space="0" w:color="auto"/>
              <w:bottom w:val="single" w:sz="8" w:space="0" w:color="auto"/>
              <w:right w:val="nil"/>
            </w:tcBorders>
            <w:shd w:val="clear" w:color="EBF1DE" w:fill="EBF1DE"/>
            <w:noWrap/>
            <w:vAlign w:val="bottom"/>
            <w:hideMark/>
          </w:tcPr>
          <w:p w:rsidR="005A46BD" w:rsidRPr="005E126D" w:rsidRDefault="005A46BD" w:rsidP="00E33B1E">
            <w:pPr>
              <w:spacing w:after="0" w:line="240" w:lineRule="auto"/>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Total</w:t>
            </w:r>
          </w:p>
        </w:tc>
        <w:tc>
          <w:tcPr>
            <w:tcW w:w="675"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34</w:t>
            </w:r>
          </w:p>
        </w:tc>
        <w:tc>
          <w:tcPr>
            <w:tcW w:w="684"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10</w:t>
            </w:r>
          </w:p>
        </w:tc>
        <w:tc>
          <w:tcPr>
            <w:tcW w:w="693"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50</w:t>
            </w:r>
          </w:p>
        </w:tc>
        <w:tc>
          <w:tcPr>
            <w:tcW w:w="810"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138</w:t>
            </w:r>
          </w:p>
        </w:tc>
        <w:tc>
          <w:tcPr>
            <w:tcW w:w="801"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608</w:t>
            </w:r>
          </w:p>
        </w:tc>
        <w:tc>
          <w:tcPr>
            <w:tcW w:w="801"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716</w:t>
            </w:r>
          </w:p>
        </w:tc>
        <w:tc>
          <w:tcPr>
            <w:tcW w:w="936"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4,048</w:t>
            </w:r>
          </w:p>
        </w:tc>
        <w:tc>
          <w:tcPr>
            <w:tcW w:w="1026" w:type="dxa"/>
            <w:tcBorders>
              <w:top w:val="single" w:sz="8" w:space="0" w:color="auto"/>
              <w:left w:val="single" w:sz="8" w:space="0" w:color="auto"/>
              <w:bottom w:val="single" w:sz="8" w:space="0" w:color="auto"/>
              <w:right w:val="single" w:sz="8" w:space="0" w:color="auto"/>
            </w:tcBorders>
            <w:shd w:val="clear" w:color="EBF1DE" w:fill="EBF1DE"/>
            <w:noWrap/>
            <w:vAlign w:val="bottom"/>
            <w:hideMark/>
          </w:tcPr>
          <w:p w:rsidR="005A46BD" w:rsidRPr="005E126D" w:rsidRDefault="005A46BD" w:rsidP="00E33B1E">
            <w:pPr>
              <w:spacing w:after="0" w:line="240" w:lineRule="auto"/>
              <w:jc w:val="right"/>
              <w:rPr>
                <w:rFonts w:ascii="Times New Roman" w:eastAsia="Times New Roman" w:hAnsi="Times New Roman" w:cs="Times New Roman"/>
                <w:b/>
                <w:bCs/>
                <w:color w:val="000000"/>
                <w:sz w:val="19"/>
                <w:szCs w:val="19"/>
              </w:rPr>
            </w:pPr>
            <w:r w:rsidRPr="005E126D">
              <w:rPr>
                <w:rFonts w:ascii="Times New Roman" w:eastAsia="Times New Roman" w:hAnsi="Times New Roman" w:cs="Times New Roman"/>
                <w:b/>
                <w:bCs/>
                <w:color w:val="000000"/>
                <w:sz w:val="19"/>
                <w:szCs w:val="19"/>
              </w:rPr>
              <w:t>5,603</w:t>
            </w:r>
          </w:p>
        </w:tc>
      </w:tr>
    </w:tbl>
    <w:p w:rsidR="005A46BD" w:rsidRDefault="005A46BD" w:rsidP="005A46BD">
      <w:pPr>
        <w:rPr>
          <w:b/>
          <w:i/>
          <w:sz w:val="24"/>
        </w:rPr>
      </w:pPr>
    </w:p>
    <w:p w:rsidR="005A46BD" w:rsidRPr="009A5AFD" w:rsidRDefault="005A46BD" w:rsidP="005A46BD">
      <w:pPr>
        <w:pStyle w:val="Heading2"/>
      </w:pPr>
      <w:r>
        <w:t xml:space="preserve">Mortality in the Horizon Community Health </w:t>
      </w:r>
      <w:r w:rsidR="00F816A6">
        <w:t>Board area</w:t>
      </w:r>
    </w:p>
    <w:p w:rsidR="005A46BD" w:rsidRPr="005D3CC7" w:rsidRDefault="005A46BD" w:rsidP="005A46BD">
      <w:pPr>
        <w:rPr>
          <w:rFonts w:cs="Times New Roman"/>
          <w:sz w:val="24"/>
        </w:rPr>
      </w:pPr>
      <w:r>
        <w:rPr>
          <w:rFonts w:cs="Times New Roman"/>
          <w:sz w:val="24"/>
        </w:rPr>
        <w:t>In the graphs below, d</w:t>
      </w:r>
      <w:r w:rsidRPr="005D3CC7">
        <w:rPr>
          <w:rFonts w:cs="Times New Roman"/>
          <w:sz w:val="24"/>
        </w:rPr>
        <w:t>eath rates were broken down further for the five individual counties</w:t>
      </w:r>
      <w:r>
        <w:rPr>
          <w:rFonts w:cs="Times New Roman"/>
          <w:sz w:val="24"/>
        </w:rPr>
        <w:t xml:space="preserve"> in the Horizon Community Health </w:t>
      </w:r>
      <w:r w:rsidR="00F816A6">
        <w:rPr>
          <w:rFonts w:cs="Times New Roman"/>
          <w:sz w:val="24"/>
        </w:rPr>
        <w:t>Board area</w:t>
      </w:r>
      <w:r>
        <w:rPr>
          <w:rFonts w:cs="Times New Roman"/>
          <w:sz w:val="24"/>
        </w:rPr>
        <w:t>.</w:t>
      </w:r>
      <w:r w:rsidRPr="005D3CC7">
        <w:rPr>
          <w:rFonts w:cs="Times New Roman"/>
          <w:sz w:val="24"/>
        </w:rPr>
        <w:t xml:space="preserve"> Rates based on 20 or fewer deaths were not produced in these charts.  </w:t>
      </w:r>
    </w:p>
    <w:p w:rsidR="005A46BD" w:rsidRPr="005D3CC7" w:rsidRDefault="005A46BD" w:rsidP="005A46BD">
      <w:pPr>
        <w:rPr>
          <w:rFonts w:cs="Times New Roman"/>
          <w:sz w:val="24"/>
        </w:rPr>
      </w:pPr>
      <w:r w:rsidRPr="005D3CC7">
        <w:rPr>
          <w:rFonts w:cs="Times New Roman"/>
          <w:sz w:val="24"/>
        </w:rPr>
        <w:t xml:space="preserve">The </w:t>
      </w:r>
      <w:r>
        <w:rPr>
          <w:rFonts w:cs="Times New Roman"/>
          <w:sz w:val="24"/>
        </w:rPr>
        <w:t>h</w:t>
      </w:r>
      <w:r w:rsidRPr="005D3CC7">
        <w:rPr>
          <w:rFonts w:cs="Times New Roman"/>
          <w:sz w:val="24"/>
        </w:rPr>
        <w:t xml:space="preserve">eart </w:t>
      </w:r>
      <w:r>
        <w:rPr>
          <w:rFonts w:cs="Times New Roman"/>
          <w:sz w:val="24"/>
        </w:rPr>
        <w:t>d</w:t>
      </w:r>
      <w:r w:rsidRPr="005D3CC7">
        <w:rPr>
          <w:rFonts w:cs="Times New Roman"/>
          <w:sz w:val="24"/>
        </w:rPr>
        <w:t>isease mortality rate in all five counties has decreased with time.  Traverse County has had the leading rate of</w:t>
      </w:r>
      <w:r>
        <w:rPr>
          <w:rFonts w:cs="Times New Roman"/>
          <w:sz w:val="24"/>
        </w:rPr>
        <w:t xml:space="preserve"> death due to</w:t>
      </w:r>
      <w:r w:rsidRPr="005D3CC7">
        <w:rPr>
          <w:rFonts w:cs="Times New Roman"/>
          <w:sz w:val="24"/>
        </w:rPr>
        <w:t xml:space="preserve"> heart disease except within the last six years when Pope County </w:t>
      </w:r>
      <w:r>
        <w:rPr>
          <w:rFonts w:cs="Times New Roman"/>
          <w:sz w:val="24"/>
        </w:rPr>
        <w:t xml:space="preserve">had the </w:t>
      </w:r>
      <w:r w:rsidRPr="005D3CC7">
        <w:rPr>
          <w:rFonts w:cs="Times New Roman"/>
          <w:sz w:val="24"/>
        </w:rPr>
        <w:t xml:space="preserve">highest rate.  </w:t>
      </w:r>
    </w:p>
    <w:p w:rsidR="005A46BD" w:rsidRPr="005D3CC7" w:rsidRDefault="005A46BD" w:rsidP="005A46BD">
      <w:pPr>
        <w:rPr>
          <w:rFonts w:cs="Times New Roman"/>
          <w:sz w:val="24"/>
        </w:rPr>
      </w:pPr>
      <w:r w:rsidRPr="005D3CC7">
        <w:rPr>
          <w:rFonts w:cs="Times New Roman"/>
          <w:sz w:val="24"/>
        </w:rPr>
        <w:t xml:space="preserve">The </w:t>
      </w:r>
      <w:r>
        <w:rPr>
          <w:rFonts w:cs="Times New Roman"/>
          <w:sz w:val="24"/>
        </w:rPr>
        <w:t>c</w:t>
      </w:r>
      <w:r w:rsidRPr="005D3CC7">
        <w:rPr>
          <w:rFonts w:cs="Times New Roman"/>
          <w:sz w:val="24"/>
        </w:rPr>
        <w:t xml:space="preserve">ancer mortality rate in Stevens and Traverse Counties has had less than 20 deaths per year through the years 1990-2010.  Douglas and Pope Counties have had an average between 150 and 200 deaths per 100,000 </w:t>
      </w:r>
      <w:r w:rsidRPr="00BE167C">
        <w:rPr>
          <w:rFonts w:cs="Times New Roman"/>
          <w:sz w:val="24"/>
        </w:rPr>
        <w:t>residents (</w:t>
      </w:r>
      <w:r>
        <w:rPr>
          <w:rFonts w:cs="Times New Roman"/>
          <w:sz w:val="24"/>
        </w:rPr>
        <w:t>approximately</w:t>
      </w:r>
      <w:r w:rsidRPr="00BE167C">
        <w:rPr>
          <w:rFonts w:cs="Times New Roman"/>
          <w:sz w:val="24"/>
        </w:rPr>
        <w:t xml:space="preserve"> 80 deaths per year in Douglas County and 30 deaths per year in Pope County).</w:t>
      </w:r>
    </w:p>
    <w:p w:rsidR="005A46BD" w:rsidRPr="005D3CC7" w:rsidRDefault="005A46BD" w:rsidP="005A46BD">
      <w:pPr>
        <w:rPr>
          <w:rFonts w:cs="Times New Roman"/>
          <w:sz w:val="24"/>
        </w:rPr>
      </w:pPr>
      <w:r w:rsidRPr="005D3CC7">
        <w:rPr>
          <w:rFonts w:cs="Times New Roman"/>
          <w:sz w:val="24"/>
        </w:rPr>
        <w:t xml:space="preserve">The mortality rate for </w:t>
      </w:r>
      <w:r>
        <w:rPr>
          <w:rFonts w:cs="Times New Roman"/>
          <w:sz w:val="24"/>
        </w:rPr>
        <w:t>s</w:t>
      </w:r>
      <w:r w:rsidRPr="005D3CC7">
        <w:rPr>
          <w:rFonts w:cs="Times New Roman"/>
          <w:sz w:val="24"/>
        </w:rPr>
        <w:t xml:space="preserve">trokes within the five individual counties </w:t>
      </w:r>
      <w:r>
        <w:rPr>
          <w:rFonts w:cs="Times New Roman"/>
          <w:sz w:val="24"/>
        </w:rPr>
        <w:t>is</w:t>
      </w:r>
      <w:r w:rsidRPr="005D3CC7">
        <w:rPr>
          <w:rFonts w:cs="Times New Roman"/>
          <w:sz w:val="24"/>
        </w:rPr>
        <w:t xml:space="preserve"> not </w:t>
      </w:r>
      <w:r>
        <w:rPr>
          <w:rFonts w:cs="Times New Roman"/>
          <w:sz w:val="24"/>
        </w:rPr>
        <w:t>provided</w:t>
      </w:r>
      <w:r w:rsidRPr="005D3CC7">
        <w:rPr>
          <w:rFonts w:cs="Times New Roman"/>
          <w:sz w:val="24"/>
        </w:rPr>
        <w:t xml:space="preserve"> due</w:t>
      </w:r>
      <w:r>
        <w:rPr>
          <w:rFonts w:cs="Times New Roman"/>
          <w:sz w:val="24"/>
        </w:rPr>
        <w:t xml:space="preserve"> to</w:t>
      </w:r>
      <w:r w:rsidRPr="005D3CC7">
        <w:rPr>
          <w:rFonts w:cs="Times New Roman"/>
          <w:sz w:val="24"/>
        </w:rPr>
        <w:t xml:space="preserve"> the majority of the counties </w:t>
      </w:r>
      <w:r>
        <w:rPr>
          <w:rFonts w:cs="Times New Roman"/>
          <w:sz w:val="24"/>
        </w:rPr>
        <w:t xml:space="preserve">having a rate of less than 20 </w:t>
      </w:r>
      <w:r w:rsidRPr="005D3CC7">
        <w:rPr>
          <w:rFonts w:cs="Times New Roman"/>
          <w:sz w:val="24"/>
        </w:rPr>
        <w:t>deaths per year.  In substitution, a graph</w:t>
      </w:r>
      <w:r>
        <w:rPr>
          <w:rFonts w:cs="Times New Roman"/>
          <w:sz w:val="24"/>
        </w:rPr>
        <w:t xml:space="preserve"> is provided</w:t>
      </w:r>
      <w:r w:rsidRPr="005D3CC7">
        <w:rPr>
          <w:rFonts w:cs="Times New Roman"/>
          <w:sz w:val="24"/>
        </w:rPr>
        <w:t xml:space="preserve"> showing the total number of mortalities due to </w:t>
      </w:r>
      <w:r>
        <w:rPr>
          <w:rFonts w:cs="Times New Roman"/>
          <w:sz w:val="24"/>
        </w:rPr>
        <w:t>s</w:t>
      </w:r>
      <w:r w:rsidRPr="005D3CC7">
        <w:rPr>
          <w:rFonts w:cs="Times New Roman"/>
          <w:sz w:val="24"/>
        </w:rPr>
        <w:t>trokes within the five counties.  The number of strokes with</w:t>
      </w:r>
      <w:r>
        <w:rPr>
          <w:rFonts w:cs="Times New Roman"/>
          <w:sz w:val="24"/>
        </w:rPr>
        <w:t>in</w:t>
      </w:r>
      <w:r w:rsidRPr="005D3CC7">
        <w:rPr>
          <w:rFonts w:cs="Times New Roman"/>
          <w:sz w:val="24"/>
        </w:rPr>
        <w:t xml:space="preserve"> the </w:t>
      </w:r>
      <w:r>
        <w:rPr>
          <w:rFonts w:cs="Times New Roman"/>
          <w:sz w:val="24"/>
        </w:rPr>
        <w:t>Horizon Community Health Region</w:t>
      </w:r>
      <w:r w:rsidRPr="005D3CC7">
        <w:rPr>
          <w:rFonts w:cs="Times New Roman"/>
          <w:sz w:val="24"/>
        </w:rPr>
        <w:t xml:space="preserve"> has remained the same with a slight decline in numbers as </w:t>
      </w:r>
      <w:r>
        <w:rPr>
          <w:rFonts w:cs="Times New Roman"/>
          <w:sz w:val="24"/>
        </w:rPr>
        <w:t>mentioned</w:t>
      </w:r>
      <w:r w:rsidRPr="005D3CC7">
        <w:rPr>
          <w:rFonts w:cs="Times New Roman"/>
          <w:sz w:val="24"/>
        </w:rPr>
        <w:t xml:space="preserve"> previously; Douglas County has shown the greatest decline in</w:t>
      </w:r>
      <w:r>
        <w:rPr>
          <w:rFonts w:cs="Times New Roman"/>
          <w:sz w:val="24"/>
        </w:rPr>
        <w:t xml:space="preserve"> deaths due to stroke</w:t>
      </w:r>
      <w:r w:rsidRPr="005D3CC7">
        <w:rPr>
          <w:rFonts w:cs="Times New Roman"/>
          <w:sz w:val="24"/>
        </w:rPr>
        <w:t xml:space="preserve"> among the five counties.</w:t>
      </w:r>
    </w:p>
    <w:p w:rsidR="005A46BD" w:rsidRDefault="005A46BD" w:rsidP="005A46BD">
      <w:pPr>
        <w:rPr>
          <w:b/>
          <w:i/>
          <w:sz w:val="24"/>
        </w:rPr>
      </w:pPr>
    </w:p>
    <w:p w:rsidR="005A46BD" w:rsidRDefault="005A46BD" w:rsidP="005A46BD">
      <w:pPr>
        <w:rPr>
          <w:b/>
          <w:bCs/>
          <w:i/>
          <w:sz w:val="24"/>
        </w:rPr>
      </w:pPr>
      <w:r>
        <w:rPr>
          <w:b/>
          <w:bCs/>
          <w:i/>
          <w:sz w:val="24"/>
        </w:rPr>
        <w:br w:type="page"/>
      </w:r>
    </w:p>
    <w:p w:rsidR="005A46BD" w:rsidRPr="00966A3A" w:rsidRDefault="005A46BD" w:rsidP="005A46BD">
      <w:pPr>
        <w:spacing w:after="0"/>
        <w:rPr>
          <w:b/>
          <w:bCs/>
          <w:i/>
          <w:sz w:val="24"/>
        </w:rPr>
      </w:pPr>
      <w:r w:rsidRPr="00073FA5">
        <w:rPr>
          <w:b/>
          <w:bCs/>
          <w:i/>
          <w:sz w:val="24"/>
        </w:rPr>
        <w:lastRenderedPageBreak/>
        <w:t xml:space="preserve">Heart Disease Mortality Rate </w:t>
      </w:r>
      <w:r>
        <w:rPr>
          <w:noProof/>
        </w:rPr>
        <w:drawing>
          <wp:inline distT="0" distB="0" distL="0" distR="0" wp14:anchorId="45193911" wp14:editId="73AF18D7">
            <wp:extent cx="6705600" cy="25717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893412">
        <w:rPr>
          <w:b/>
          <w:i/>
          <w:sz w:val="24"/>
          <w:szCs w:val="24"/>
        </w:rPr>
        <w:t>Cancer Mortality Rate</w:t>
      </w:r>
      <w:r>
        <w:rPr>
          <w:noProof/>
        </w:rPr>
        <w:drawing>
          <wp:inline distT="0" distB="0" distL="0" distR="0" wp14:anchorId="1F58DDE1" wp14:editId="2F44B843">
            <wp:extent cx="6800850" cy="27051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46BD" w:rsidRDefault="005A46BD" w:rsidP="005A46BD">
      <w:pPr>
        <w:spacing w:after="0"/>
        <w:rPr>
          <w:b/>
          <w:i/>
          <w:sz w:val="24"/>
          <w:szCs w:val="24"/>
        </w:rPr>
      </w:pPr>
    </w:p>
    <w:p w:rsidR="005A46BD" w:rsidRPr="00966A3A" w:rsidRDefault="005A46BD" w:rsidP="005A46BD">
      <w:pPr>
        <w:spacing w:after="0"/>
        <w:rPr>
          <w:b/>
          <w:color w:val="5B9BD5" w:themeColor="accent1"/>
          <w:sz w:val="32"/>
        </w:rPr>
      </w:pPr>
      <w:r>
        <w:rPr>
          <w:b/>
          <w:i/>
          <w:sz w:val="24"/>
          <w:szCs w:val="24"/>
        </w:rPr>
        <w:lastRenderedPageBreak/>
        <w:t>Stroke Mortality Number</w:t>
      </w:r>
      <w:r>
        <w:rPr>
          <w:noProof/>
        </w:rPr>
        <w:drawing>
          <wp:inline distT="0" distB="0" distL="0" distR="0" wp14:anchorId="0C3DDE7A" wp14:editId="3C8C96A2">
            <wp:extent cx="6858000" cy="24765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A46BD" w:rsidRDefault="005A46BD" w:rsidP="005A46BD">
      <w:pPr>
        <w:pStyle w:val="NoSpacing"/>
      </w:pPr>
      <w:r w:rsidRPr="005D3CC7">
        <w:rPr>
          <w:rStyle w:val="Heading2Char"/>
        </w:rPr>
        <w:t>Cancer</w:t>
      </w:r>
      <w:r w:rsidRPr="005D3CC7">
        <w:rPr>
          <w:highlight w:val="yellow"/>
        </w:rPr>
        <w:t xml:space="preserve"> </w:t>
      </w:r>
    </w:p>
    <w:p w:rsidR="005A46BD" w:rsidRPr="005D3CC7" w:rsidRDefault="005A46BD" w:rsidP="005A46BD">
      <w:pPr>
        <w:rPr>
          <w:sz w:val="24"/>
        </w:rPr>
      </w:pPr>
      <w:r>
        <w:rPr>
          <w:sz w:val="24"/>
        </w:rPr>
        <w:t>A</w:t>
      </w:r>
      <w:r w:rsidRPr="005D3CC7">
        <w:rPr>
          <w:sz w:val="24"/>
        </w:rPr>
        <w:t xml:space="preserve">s of 2010, </w:t>
      </w:r>
      <w:r>
        <w:rPr>
          <w:sz w:val="24"/>
        </w:rPr>
        <w:t>c</w:t>
      </w:r>
      <w:r w:rsidRPr="005D3CC7">
        <w:rPr>
          <w:sz w:val="24"/>
        </w:rPr>
        <w:t xml:space="preserve">ancer was the leading cause of death in Minnesota.  </w:t>
      </w:r>
      <w:r>
        <w:rPr>
          <w:sz w:val="24"/>
        </w:rPr>
        <w:t xml:space="preserve">It is the second leading cause of death in the Horizon Community Health </w:t>
      </w:r>
      <w:r w:rsidR="00F816A6">
        <w:rPr>
          <w:sz w:val="24"/>
        </w:rPr>
        <w:t>Board area</w:t>
      </w:r>
      <w:r>
        <w:rPr>
          <w:sz w:val="24"/>
        </w:rPr>
        <w:t>,</w:t>
      </w:r>
      <w:r w:rsidRPr="005D3CC7">
        <w:rPr>
          <w:sz w:val="24"/>
        </w:rPr>
        <w:t xml:space="preserve"> </w:t>
      </w:r>
      <w:r>
        <w:rPr>
          <w:sz w:val="24"/>
        </w:rPr>
        <w:t>followed by heart disease.</w:t>
      </w:r>
    </w:p>
    <w:p w:rsidR="005A46BD" w:rsidRPr="005D3CC7" w:rsidRDefault="005A46BD" w:rsidP="005A46BD">
      <w:pPr>
        <w:rPr>
          <w:i/>
          <w:sz w:val="24"/>
        </w:rPr>
      </w:pPr>
      <w:r w:rsidRPr="005D3CC7">
        <w:rPr>
          <w:sz w:val="24"/>
        </w:rPr>
        <w:t>Cancer can be caused by both external factors (tobacco, infectious organisms, chemicals, and radiation) and internal factors (inherited mutations, hormones, immune conditions, and mutations that occur from metabolism).  It can be caused from a single factor or a variety of factors</w:t>
      </w:r>
      <w:r>
        <w:rPr>
          <w:sz w:val="24"/>
        </w:rPr>
        <w:t xml:space="preserve"> mentioned above</w:t>
      </w:r>
      <w:r w:rsidRPr="005D3CC7">
        <w:rPr>
          <w:sz w:val="24"/>
        </w:rPr>
        <w:t>.  The American Cancer Society estimates there will be 28,000 new cases of selected cancers and 10,000 deaths from selected cancers in the year 2013 within Minnesota.</w:t>
      </w:r>
      <w:r w:rsidRPr="005D3CC7">
        <w:rPr>
          <w:rStyle w:val="EndnoteReference"/>
          <w:sz w:val="24"/>
        </w:rPr>
        <w:endnoteReference w:id="23"/>
      </w:r>
      <w:r w:rsidRPr="005D3CC7">
        <w:rPr>
          <w:sz w:val="24"/>
        </w:rPr>
        <w:t xml:space="preserve">  The Minnesota Department of Health states within its Statewide Health Assessment,</w:t>
      </w:r>
      <w:r w:rsidRPr="005D3CC7">
        <w:rPr>
          <w:i/>
          <w:sz w:val="24"/>
        </w:rPr>
        <w:t xml:space="preserve"> "According to the American Cancer Society, the risk of death from cancer is influenced by poverty more than by race. People in poverty are more likely to smoke and to be obese, two major risk factors for cancer.  In addition, poverty may expose people to unhealthy environments, limit awareness of health promotion messages and lead to seeking medical care at a later stage of illness, when treatment options are limited and the potential for death is much higher."</w:t>
      </w:r>
      <w:r w:rsidRPr="005D3CC7">
        <w:rPr>
          <w:rStyle w:val="EndnoteReference"/>
          <w:i/>
          <w:sz w:val="24"/>
        </w:rPr>
        <w:endnoteReference w:id="24"/>
      </w:r>
    </w:p>
    <w:p w:rsidR="005A46BD" w:rsidRPr="005D3CC7" w:rsidRDefault="005A46BD" w:rsidP="005A46BD">
      <w:pPr>
        <w:rPr>
          <w:sz w:val="24"/>
        </w:rPr>
      </w:pPr>
      <w:r>
        <w:rPr>
          <w:sz w:val="24"/>
        </w:rPr>
        <w:t xml:space="preserve">Breast cancer is </w:t>
      </w:r>
      <w:r w:rsidRPr="005D3CC7">
        <w:rPr>
          <w:sz w:val="24"/>
        </w:rPr>
        <w:t xml:space="preserve">the most common cancer found in women.  According to the National Breast Cancer Foundation, 1 </w:t>
      </w:r>
      <w:r>
        <w:rPr>
          <w:sz w:val="24"/>
        </w:rPr>
        <w:t>out of 8 women will be diagnosed</w:t>
      </w:r>
      <w:r w:rsidRPr="005D3CC7">
        <w:rPr>
          <w:sz w:val="24"/>
        </w:rPr>
        <w:t xml:space="preserve"> with </w:t>
      </w:r>
      <w:r>
        <w:rPr>
          <w:sz w:val="24"/>
        </w:rPr>
        <w:t>b</w:t>
      </w:r>
      <w:r w:rsidRPr="005D3CC7">
        <w:rPr>
          <w:sz w:val="24"/>
        </w:rPr>
        <w:t>reas</w:t>
      </w:r>
      <w:r>
        <w:rPr>
          <w:sz w:val="24"/>
        </w:rPr>
        <w:t>t cancer within their lifetime.</w:t>
      </w:r>
      <w:r w:rsidRPr="005D3CC7">
        <w:rPr>
          <w:rStyle w:val="EndnoteReference"/>
          <w:sz w:val="24"/>
        </w:rPr>
        <w:endnoteReference w:id="25"/>
      </w:r>
      <w:r>
        <w:rPr>
          <w:sz w:val="24"/>
        </w:rPr>
        <w:t xml:space="preserve"> </w:t>
      </w:r>
      <w:r w:rsidRPr="005D3CC7">
        <w:rPr>
          <w:sz w:val="24"/>
        </w:rPr>
        <w:t xml:space="preserve"> Luckily, with early detection and treatment, most people will continue a normal life.  </w:t>
      </w:r>
      <w:r>
        <w:rPr>
          <w:sz w:val="24"/>
        </w:rPr>
        <w:t xml:space="preserve">Graphs shown below identify 15 percent of cancer deaths were breast cancer within Minnesota from 2000 to 2008.  </w:t>
      </w:r>
      <w:r w:rsidRPr="005D3CC7">
        <w:rPr>
          <w:sz w:val="24"/>
        </w:rPr>
        <w:t xml:space="preserve"> The </w:t>
      </w:r>
      <w:r>
        <w:rPr>
          <w:sz w:val="24"/>
        </w:rPr>
        <w:t>Horizon Community Health Region averaged 13 percent of cancer deaths being identified as breast cancer</w:t>
      </w:r>
      <w:r w:rsidRPr="005D3CC7">
        <w:rPr>
          <w:sz w:val="24"/>
        </w:rPr>
        <w:t xml:space="preserve">.  Stevens County </w:t>
      </w:r>
      <w:r>
        <w:rPr>
          <w:sz w:val="24"/>
        </w:rPr>
        <w:t>had</w:t>
      </w:r>
      <w:r w:rsidRPr="005D3CC7">
        <w:rPr>
          <w:sz w:val="24"/>
        </w:rPr>
        <w:t xml:space="preserve"> six percent of cancer deaths </w:t>
      </w:r>
      <w:r>
        <w:rPr>
          <w:sz w:val="24"/>
        </w:rPr>
        <w:t>at</w:t>
      </w:r>
      <w:r w:rsidRPr="005D3CC7">
        <w:rPr>
          <w:sz w:val="24"/>
        </w:rPr>
        <w:t>tributed to breast cancer</w:t>
      </w:r>
      <w:r>
        <w:rPr>
          <w:sz w:val="24"/>
        </w:rPr>
        <w:t xml:space="preserve"> in 2000 to 2002; i</w:t>
      </w:r>
      <w:r w:rsidRPr="005D3CC7">
        <w:rPr>
          <w:sz w:val="24"/>
        </w:rPr>
        <w:t xml:space="preserve">t increased in 2003 to 2005 to seven percent and jumped to 27 percent in 2006 to 2008.  </w:t>
      </w:r>
      <w:r>
        <w:rPr>
          <w:sz w:val="24"/>
        </w:rPr>
        <w:t>The sudden increase is due to the</w:t>
      </w:r>
      <w:r w:rsidRPr="005D3CC7">
        <w:rPr>
          <w:sz w:val="24"/>
        </w:rPr>
        <w:t xml:space="preserve"> number of women who have died due to breast</w:t>
      </w:r>
      <w:r>
        <w:rPr>
          <w:sz w:val="24"/>
        </w:rPr>
        <w:t xml:space="preserve"> cancer</w:t>
      </w:r>
      <w:r w:rsidRPr="005D3CC7">
        <w:rPr>
          <w:sz w:val="24"/>
        </w:rPr>
        <w:t xml:space="preserve"> – </w:t>
      </w:r>
      <w:r>
        <w:rPr>
          <w:sz w:val="24"/>
        </w:rPr>
        <w:t xml:space="preserve">from </w:t>
      </w:r>
      <w:r w:rsidRPr="005D3CC7">
        <w:rPr>
          <w:sz w:val="24"/>
        </w:rPr>
        <w:t xml:space="preserve">two in 2000-2002 to seven in 2006-2008.  </w:t>
      </w:r>
      <w:r>
        <w:rPr>
          <w:sz w:val="24"/>
        </w:rPr>
        <w:t>Also, the sudden increase is due to the</w:t>
      </w:r>
      <w:r w:rsidRPr="005D3CC7">
        <w:rPr>
          <w:sz w:val="24"/>
        </w:rPr>
        <w:t xml:space="preserve"> total number of women dying from cancer </w:t>
      </w:r>
      <w:r>
        <w:rPr>
          <w:sz w:val="24"/>
        </w:rPr>
        <w:t>decreasing</w:t>
      </w:r>
      <w:r w:rsidRPr="005D3CC7">
        <w:rPr>
          <w:sz w:val="24"/>
        </w:rPr>
        <w:t xml:space="preserve"> throughout the years.  </w:t>
      </w:r>
      <w:r>
        <w:rPr>
          <w:sz w:val="24"/>
        </w:rPr>
        <w:t>Traverse C</w:t>
      </w:r>
      <w:r w:rsidRPr="005D3CC7">
        <w:rPr>
          <w:sz w:val="24"/>
        </w:rPr>
        <w:t>ounty on the other hand has seen a decrease in the percent of deaths due to breast cancer</w:t>
      </w:r>
      <w:r>
        <w:rPr>
          <w:sz w:val="24"/>
        </w:rPr>
        <w:t xml:space="preserve"> with zero </w:t>
      </w:r>
      <w:r w:rsidRPr="005D3CC7">
        <w:rPr>
          <w:sz w:val="24"/>
        </w:rPr>
        <w:t xml:space="preserve">deaths in the years 2006-2008.  </w:t>
      </w:r>
    </w:p>
    <w:p w:rsidR="005A46BD" w:rsidRPr="005D3CC7" w:rsidRDefault="005A46BD" w:rsidP="005A46BD">
      <w:pPr>
        <w:rPr>
          <w:sz w:val="24"/>
        </w:rPr>
      </w:pPr>
      <w:r w:rsidRPr="005D3CC7">
        <w:rPr>
          <w:sz w:val="24"/>
        </w:rPr>
        <w:t>Colon and</w:t>
      </w:r>
      <w:r>
        <w:rPr>
          <w:sz w:val="24"/>
        </w:rPr>
        <w:t xml:space="preserve"> rectal cancer have remained at </w:t>
      </w:r>
      <w:r w:rsidRPr="005D3CC7">
        <w:rPr>
          <w:sz w:val="24"/>
        </w:rPr>
        <w:t>a st</w:t>
      </w:r>
      <w:r>
        <w:rPr>
          <w:sz w:val="24"/>
        </w:rPr>
        <w:t>eady</w:t>
      </w:r>
      <w:r w:rsidRPr="005D3CC7">
        <w:rPr>
          <w:sz w:val="24"/>
        </w:rPr>
        <w:t xml:space="preserve"> 10 percent of cancer deaths for Minnesota and the </w:t>
      </w:r>
      <w:r>
        <w:rPr>
          <w:sz w:val="24"/>
        </w:rPr>
        <w:t>Horizon Community Health Region</w:t>
      </w:r>
      <w:r w:rsidRPr="005D3CC7">
        <w:rPr>
          <w:sz w:val="24"/>
        </w:rPr>
        <w:t xml:space="preserve">.  Traverse County has the </w:t>
      </w:r>
      <w:r>
        <w:rPr>
          <w:sz w:val="24"/>
        </w:rPr>
        <w:t>highest</w:t>
      </w:r>
      <w:r w:rsidRPr="005D3CC7">
        <w:rPr>
          <w:sz w:val="24"/>
        </w:rPr>
        <w:t xml:space="preserve"> range of colon and rect</w:t>
      </w:r>
      <w:r>
        <w:rPr>
          <w:sz w:val="24"/>
        </w:rPr>
        <w:t>al</w:t>
      </w:r>
      <w:r w:rsidRPr="005D3CC7">
        <w:rPr>
          <w:sz w:val="24"/>
        </w:rPr>
        <w:t xml:space="preserve"> cancer deaths, ranging from five percent in 2003 to 2005 to 25 percent in 2006 to 2008. Once again</w:t>
      </w:r>
      <w:r>
        <w:rPr>
          <w:sz w:val="24"/>
        </w:rPr>
        <w:t xml:space="preserve">, while looking at the actual </w:t>
      </w:r>
      <w:r w:rsidRPr="005D3CC7">
        <w:rPr>
          <w:sz w:val="24"/>
        </w:rPr>
        <w:lastRenderedPageBreak/>
        <w:t>number of deaths for men and women combined, in 2000-2002 there were 10 deaths due to colon and rect</w:t>
      </w:r>
      <w:r>
        <w:rPr>
          <w:sz w:val="24"/>
        </w:rPr>
        <w:t>al</w:t>
      </w:r>
      <w:r w:rsidRPr="005D3CC7">
        <w:rPr>
          <w:sz w:val="24"/>
        </w:rPr>
        <w:t xml:space="preserve"> cancer.  In 2003-2005 there were two deaths, and in 2006-2008 there were 9 deaths.  These numbers are small leaving the percentages to appear to be more drastic than </w:t>
      </w:r>
      <w:r>
        <w:rPr>
          <w:sz w:val="24"/>
        </w:rPr>
        <w:t>in actuality</w:t>
      </w:r>
      <w:r w:rsidRPr="005D3CC7">
        <w:rPr>
          <w:sz w:val="24"/>
        </w:rPr>
        <w:t>.</w:t>
      </w:r>
    </w:p>
    <w:p w:rsidR="005A46BD" w:rsidRPr="005D3CC7" w:rsidRDefault="005A46BD" w:rsidP="005A46BD">
      <w:pPr>
        <w:rPr>
          <w:sz w:val="24"/>
        </w:rPr>
      </w:pPr>
      <w:r w:rsidRPr="005D3CC7">
        <w:rPr>
          <w:sz w:val="24"/>
        </w:rPr>
        <w:t xml:space="preserve">The percent of </w:t>
      </w:r>
      <w:r>
        <w:rPr>
          <w:sz w:val="24"/>
        </w:rPr>
        <w:t>l</w:t>
      </w:r>
      <w:r w:rsidRPr="005D3CC7">
        <w:rPr>
          <w:sz w:val="24"/>
        </w:rPr>
        <w:t>ung cancer deaths among men and women have remained pretty much constant</w:t>
      </w:r>
      <w:r>
        <w:rPr>
          <w:sz w:val="24"/>
        </w:rPr>
        <w:t>;</w:t>
      </w:r>
      <w:r w:rsidRPr="005D3CC7">
        <w:rPr>
          <w:sz w:val="24"/>
        </w:rPr>
        <w:t xml:space="preserve"> around 25 percent or one fourth of the total deaths by a certain type of cancer.  </w:t>
      </w:r>
    </w:p>
    <w:p w:rsidR="005A46BD" w:rsidRDefault="005A46BD" w:rsidP="005A46BD">
      <w:pPr>
        <w:rPr>
          <w:sz w:val="24"/>
        </w:rPr>
      </w:pPr>
      <w:r w:rsidRPr="005D3CC7">
        <w:rPr>
          <w:sz w:val="24"/>
        </w:rPr>
        <w:t xml:space="preserve">According to the Center for Disease Control, </w:t>
      </w:r>
      <w:r>
        <w:rPr>
          <w:sz w:val="24"/>
        </w:rPr>
        <w:t>p</w:t>
      </w:r>
      <w:r w:rsidRPr="005D3CC7">
        <w:rPr>
          <w:sz w:val="24"/>
        </w:rPr>
        <w:t>rostate cancer is the most common cancer among men, no matter their race or ethnicity.</w:t>
      </w:r>
      <w:r w:rsidRPr="005D3CC7">
        <w:rPr>
          <w:rStyle w:val="EndnoteReference"/>
          <w:sz w:val="24"/>
        </w:rPr>
        <w:endnoteReference w:id="26"/>
      </w:r>
      <w:r w:rsidRPr="005D3CC7">
        <w:rPr>
          <w:sz w:val="24"/>
        </w:rPr>
        <w:t xml:space="preserve">  Twelve percent of cancer deaths are </w:t>
      </w:r>
      <w:r>
        <w:rPr>
          <w:sz w:val="24"/>
        </w:rPr>
        <w:t>from p</w:t>
      </w:r>
      <w:r w:rsidRPr="005D3CC7">
        <w:rPr>
          <w:sz w:val="24"/>
        </w:rPr>
        <w:t xml:space="preserve">rostate cancer in men in Minnesota and the </w:t>
      </w:r>
      <w:r>
        <w:rPr>
          <w:sz w:val="24"/>
        </w:rPr>
        <w:t xml:space="preserve">Horizon Community Health </w:t>
      </w:r>
      <w:r w:rsidR="00F816A6">
        <w:rPr>
          <w:sz w:val="24"/>
        </w:rPr>
        <w:t>Board area</w:t>
      </w:r>
      <w:r w:rsidRPr="005D3CC7">
        <w:rPr>
          <w:sz w:val="24"/>
        </w:rPr>
        <w:t xml:space="preserve"> as a whole.  Overall, the percentage of deaths due to </w:t>
      </w:r>
      <w:r>
        <w:rPr>
          <w:sz w:val="24"/>
        </w:rPr>
        <w:t>p</w:t>
      </w:r>
      <w:r w:rsidRPr="005D3CC7">
        <w:rPr>
          <w:sz w:val="24"/>
        </w:rPr>
        <w:t>rostate cancer among men has declined.</w:t>
      </w:r>
    </w:p>
    <w:p w:rsidR="005A46BD" w:rsidRDefault="005A46BD" w:rsidP="005A46BD">
      <w:pPr>
        <w:rPr>
          <w:sz w:val="24"/>
        </w:rPr>
      </w:pPr>
      <w:r>
        <w:rPr>
          <w:sz w:val="24"/>
        </w:rPr>
        <w:br w:type="page"/>
      </w:r>
    </w:p>
    <w:p w:rsidR="005A46BD" w:rsidRDefault="005A46BD" w:rsidP="005A46BD">
      <w:pPr>
        <w:spacing w:after="0"/>
        <w:rPr>
          <w:b/>
          <w:i/>
          <w:sz w:val="24"/>
        </w:rPr>
        <w:sectPr w:rsidR="005A46BD" w:rsidSect="00E33B1E">
          <w:footerReference w:type="default" r:id="rId57"/>
          <w:endnotePr>
            <w:numFmt w:val="decimal"/>
          </w:endnotePr>
          <w:pgSz w:w="12240" w:h="15840"/>
          <w:pgMar w:top="720" w:right="720" w:bottom="720" w:left="720" w:header="720" w:footer="720" w:gutter="0"/>
          <w:cols w:space="720"/>
          <w:docGrid w:linePitch="360"/>
        </w:sectPr>
      </w:pPr>
    </w:p>
    <w:p w:rsidR="005A46BD" w:rsidRPr="00893412" w:rsidRDefault="005A46BD" w:rsidP="005A46BD">
      <w:pPr>
        <w:spacing w:after="0"/>
        <w:rPr>
          <w:b/>
          <w:i/>
          <w:sz w:val="24"/>
        </w:rPr>
      </w:pPr>
      <w:r>
        <w:rPr>
          <w:b/>
          <w:i/>
          <w:sz w:val="24"/>
        </w:rPr>
        <w:lastRenderedPageBreak/>
        <w:t>B</w:t>
      </w:r>
      <w:r w:rsidRPr="00893412">
        <w:rPr>
          <w:b/>
          <w:i/>
          <w:sz w:val="24"/>
        </w:rPr>
        <w:t>reast cancer</w:t>
      </w:r>
      <w:r>
        <w:rPr>
          <w:b/>
          <w:i/>
          <w:sz w:val="24"/>
        </w:rPr>
        <w:t xml:space="preserve"> deaths for</w:t>
      </w:r>
      <w:r w:rsidRPr="00893412">
        <w:rPr>
          <w:b/>
          <w:i/>
          <w:sz w:val="24"/>
        </w:rPr>
        <w:t xml:space="preserve"> women</w:t>
      </w:r>
    </w:p>
    <w:p w:rsidR="005A46BD" w:rsidRDefault="005A46BD" w:rsidP="005A46BD">
      <w:pPr>
        <w:rPr>
          <w:b/>
          <w:sz w:val="24"/>
        </w:rPr>
      </w:pPr>
      <w:r>
        <w:rPr>
          <w:noProof/>
        </w:rPr>
        <w:drawing>
          <wp:inline distT="0" distB="0" distL="0" distR="0" wp14:anchorId="0415F634" wp14:editId="5992D7B8">
            <wp:extent cx="3455719" cy="2351314"/>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46BD" w:rsidRPr="00FF4263" w:rsidRDefault="005A46BD" w:rsidP="005A46BD">
      <w:pPr>
        <w:spacing w:after="0"/>
        <w:rPr>
          <w:b/>
          <w:i/>
          <w:sz w:val="24"/>
        </w:rPr>
      </w:pPr>
      <w:r w:rsidRPr="00FF4263">
        <w:rPr>
          <w:b/>
          <w:i/>
          <w:sz w:val="24"/>
        </w:rPr>
        <w:t>Colon and Rectum deaths for men and women</w:t>
      </w:r>
    </w:p>
    <w:p w:rsidR="005A46BD" w:rsidRDefault="005A46BD" w:rsidP="005A46BD">
      <w:pPr>
        <w:spacing w:after="0"/>
        <w:rPr>
          <w:b/>
          <w:sz w:val="24"/>
        </w:rPr>
      </w:pPr>
      <w:r>
        <w:rPr>
          <w:noProof/>
        </w:rPr>
        <w:drawing>
          <wp:inline distT="0" distB="0" distL="0" distR="0" wp14:anchorId="0F338CF1" wp14:editId="47B2C06F">
            <wp:extent cx="3455719" cy="220881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46BD" w:rsidRDefault="005A46BD" w:rsidP="005A46BD">
      <w:pPr>
        <w:spacing w:after="0"/>
        <w:rPr>
          <w:b/>
          <w:sz w:val="24"/>
        </w:rPr>
      </w:pPr>
    </w:p>
    <w:p w:rsidR="005A46BD" w:rsidRDefault="005A46BD" w:rsidP="005A46BD">
      <w:pPr>
        <w:rPr>
          <w:b/>
          <w:sz w:val="28"/>
        </w:rPr>
        <w:sectPr w:rsidR="005A46BD" w:rsidSect="00E33B1E">
          <w:type w:val="continuous"/>
          <w:pgSz w:w="12240" w:h="15840"/>
          <w:pgMar w:top="720" w:right="720" w:bottom="720" w:left="720" w:header="720" w:footer="720" w:gutter="0"/>
          <w:cols w:num="2" w:space="360"/>
          <w:docGrid w:linePitch="360"/>
        </w:sectPr>
      </w:pPr>
    </w:p>
    <w:p w:rsidR="005A46BD" w:rsidRDefault="005A46BD" w:rsidP="005A46BD">
      <w:pPr>
        <w:ind w:right="-90"/>
        <w:rPr>
          <w:b/>
          <w:sz w:val="28"/>
        </w:rPr>
      </w:pPr>
    </w:p>
    <w:tbl>
      <w:tblPr>
        <w:tblStyle w:val="TableGrid"/>
        <w:tblpPr w:leftFromText="180" w:rightFromText="180" w:vertAnchor="page" w:horzAnchor="margin" w:tblpXSpec="center" w:tblpY="5696"/>
        <w:tblW w:w="0" w:type="auto"/>
        <w:tblInd w:w="0" w:type="dxa"/>
        <w:tblLook w:val="04A0" w:firstRow="1" w:lastRow="0" w:firstColumn="1" w:lastColumn="0" w:noHBand="0" w:noVBand="1"/>
      </w:tblPr>
      <w:tblGrid>
        <w:gridCol w:w="738"/>
        <w:gridCol w:w="1716"/>
      </w:tblGrid>
      <w:tr w:rsidR="005A46BD" w:rsidTr="00E33B1E">
        <w:trPr>
          <w:trHeight w:val="350"/>
        </w:trPr>
        <w:tc>
          <w:tcPr>
            <w:tcW w:w="738" w:type="dxa"/>
            <w:shd w:val="clear" w:color="auto" w:fill="5B9BD5" w:themeFill="accent1"/>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Minnesota</w:t>
            </w:r>
          </w:p>
        </w:tc>
      </w:tr>
      <w:tr w:rsidR="005A46BD" w:rsidTr="00E33B1E">
        <w:trPr>
          <w:trHeight w:val="359"/>
        </w:trPr>
        <w:tc>
          <w:tcPr>
            <w:tcW w:w="738" w:type="dxa"/>
            <w:shd w:val="clear" w:color="auto" w:fill="ED7D31" w:themeFill="accent2"/>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Horizon</w:t>
            </w:r>
          </w:p>
        </w:tc>
      </w:tr>
      <w:tr w:rsidR="005A46BD" w:rsidTr="00E33B1E">
        <w:trPr>
          <w:trHeight w:val="341"/>
        </w:trPr>
        <w:tc>
          <w:tcPr>
            <w:tcW w:w="738" w:type="dxa"/>
            <w:shd w:val="clear" w:color="auto" w:fill="A5A5A5" w:themeFill="accent3"/>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Douglas</w:t>
            </w:r>
          </w:p>
        </w:tc>
      </w:tr>
      <w:tr w:rsidR="005A46BD" w:rsidTr="00E33B1E">
        <w:trPr>
          <w:trHeight w:val="350"/>
        </w:trPr>
        <w:tc>
          <w:tcPr>
            <w:tcW w:w="738" w:type="dxa"/>
            <w:shd w:val="clear" w:color="auto" w:fill="FFC000" w:themeFill="accent4"/>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Grant</w:t>
            </w:r>
          </w:p>
        </w:tc>
      </w:tr>
      <w:tr w:rsidR="005A46BD" w:rsidTr="00E33B1E">
        <w:trPr>
          <w:trHeight w:val="350"/>
        </w:trPr>
        <w:tc>
          <w:tcPr>
            <w:tcW w:w="738" w:type="dxa"/>
            <w:shd w:val="clear" w:color="auto" w:fill="4472C4" w:themeFill="accent5"/>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Pope</w:t>
            </w:r>
          </w:p>
        </w:tc>
      </w:tr>
      <w:tr w:rsidR="005A46BD" w:rsidTr="00E33B1E">
        <w:trPr>
          <w:trHeight w:val="359"/>
        </w:trPr>
        <w:tc>
          <w:tcPr>
            <w:tcW w:w="738" w:type="dxa"/>
            <w:shd w:val="clear" w:color="auto" w:fill="70AD47" w:themeFill="accent6"/>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Stevens</w:t>
            </w:r>
          </w:p>
        </w:tc>
      </w:tr>
      <w:tr w:rsidR="005A46BD" w:rsidTr="00E33B1E">
        <w:trPr>
          <w:trHeight w:val="341"/>
        </w:trPr>
        <w:tc>
          <w:tcPr>
            <w:tcW w:w="738" w:type="dxa"/>
            <w:shd w:val="clear" w:color="auto" w:fill="9CC2E5" w:themeFill="accent1" w:themeFillTint="99"/>
          </w:tcPr>
          <w:p w:rsidR="005A46BD" w:rsidRDefault="005A46BD" w:rsidP="00E33B1E">
            <w:pPr>
              <w:pStyle w:val="NoSpacing"/>
              <w:rPr>
                <w:b/>
                <w:color w:val="000000" w:themeColor="text1"/>
                <w:sz w:val="24"/>
              </w:rPr>
            </w:pPr>
          </w:p>
        </w:tc>
        <w:tc>
          <w:tcPr>
            <w:tcW w:w="1716" w:type="dxa"/>
          </w:tcPr>
          <w:p w:rsidR="005A46BD" w:rsidRDefault="005A46BD" w:rsidP="00E33B1E">
            <w:pPr>
              <w:pStyle w:val="NoSpacing"/>
              <w:rPr>
                <w:b/>
                <w:color w:val="000000" w:themeColor="text1"/>
                <w:sz w:val="24"/>
              </w:rPr>
            </w:pPr>
            <w:r>
              <w:rPr>
                <w:b/>
                <w:color w:val="000000" w:themeColor="text1"/>
                <w:sz w:val="24"/>
              </w:rPr>
              <w:t>Traverse</w:t>
            </w:r>
          </w:p>
        </w:tc>
      </w:tr>
    </w:tbl>
    <w:p w:rsidR="005A46BD" w:rsidRDefault="005A46BD" w:rsidP="005A46BD">
      <w:pPr>
        <w:rPr>
          <w:b/>
          <w:sz w:val="28"/>
        </w:rPr>
      </w:pPr>
    </w:p>
    <w:p w:rsidR="005A46BD" w:rsidRDefault="005A46BD" w:rsidP="005A46BD">
      <w:pPr>
        <w:rPr>
          <w:b/>
          <w:sz w:val="28"/>
        </w:rPr>
      </w:pPr>
    </w:p>
    <w:p w:rsidR="005A46BD" w:rsidRDefault="005A46BD" w:rsidP="005A46BD">
      <w:pPr>
        <w:rPr>
          <w:b/>
          <w:sz w:val="28"/>
        </w:rPr>
      </w:pPr>
    </w:p>
    <w:p w:rsidR="005A46BD" w:rsidRDefault="005A46BD" w:rsidP="005A46BD">
      <w:pPr>
        <w:rPr>
          <w:b/>
          <w:sz w:val="28"/>
        </w:rPr>
      </w:pPr>
    </w:p>
    <w:p w:rsidR="005A46BD" w:rsidRDefault="005A46BD" w:rsidP="005A46BD">
      <w:pPr>
        <w:rPr>
          <w:b/>
          <w:sz w:val="28"/>
        </w:rPr>
      </w:pPr>
    </w:p>
    <w:p w:rsidR="005A46BD" w:rsidRDefault="005A46BD" w:rsidP="005A46BD">
      <w:pPr>
        <w:rPr>
          <w:b/>
          <w:sz w:val="28"/>
        </w:rPr>
        <w:sectPr w:rsidR="005A46BD" w:rsidSect="00E33B1E">
          <w:type w:val="continuous"/>
          <w:pgSz w:w="12240" w:h="15840"/>
          <w:pgMar w:top="720" w:right="720" w:bottom="720" w:left="720" w:header="720" w:footer="720" w:gutter="0"/>
          <w:cols w:space="720"/>
          <w:docGrid w:linePitch="360"/>
        </w:sectPr>
      </w:pPr>
    </w:p>
    <w:p w:rsidR="005A46BD" w:rsidRDefault="005A46BD" w:rsidP="005B0F93">
      <w:pPr>
        <w:tabs>
          <w:tab w:val="left" w:pos="4770"/>
        </w:tabs>
        <w:spacing w:after="0"/>
        <w:rPr>
          <w:i/>
          <w:iCs/>
        </w:rPr>
      </w:pPr>
    </w:p>
    <w:p w:rsidR="005A46BD" w:rsidRDefault="005A46BD" w:rsidP="005A46BD">
      <w:pPr>
        <w:spacing w:after="0"/>
        <w:rPr>
          <w:i/>
          <w:iCs/>
        </w:rPr>
      </w:pPr>
      <w:r w:rsidRPr="00250A4A">
        <w:rPr>
          <w:i/>
          <w:iCs/>
        </w:rPr>
        <w:t>Source: Minnesota Department of Health, Minnesota Cancer Surveillance System</w:t>
      </w:r>
    </w:p>
    <w:p w:rsidR="005A46BD" w:rsidRDefault="005A46BD" w:rsidP="005A46BD">
      <w:r w:rsidRPr="00250A4A">
        <w:t>*Percent = # diagnosed for county (or state) / total cancer cases for county (or state)</w:t>
      </w:r>
    </w:p>
    <w:p w:rsidR="009E19D9" w:rsidRDefault="009E19D9" w:rsidP="005A46BD"/>
    <w:p w:rsidR="009E19D9" w:rsidRPr="00250A4A" w:rsidRDefault="009E19D9" w:rsidP="005A46BD"/>
    <w:p w:rsidR="005A46BD" w:rsidRPr="00151C82" w:rsidRDefault="005A46BD" w:rsidP="005A46BD">
      <w:pPr>
        <w:pStyle w:val="Heading2"/>
      </w:pPr>
      <w:r>
        <w:t>Obesity</w:t>
      </w:r>
    </w:p>
    <w:p w:rsidR="005A46BD" w:rsidRDefault="005A46BD" w:rsidP="005A46BD">
      <w:r>
        <w:t>Obesity places people at a higher risk for obtaining a variety of chronic diseases and health conditions.  The Minnesota Department of Health lists that hypertension, dyslipidemia, type 2 diabetes, coronary heart disease, stroke, gallbladder disease, depression, osteoarthritis, sleep apnea and respiratory problems, and even some cancers (endometrial, breast, and colon) as a few of the chronic diseases and health conditions one can obtain while being overweight or obese.</w:t>
      </w:r>
      <w:r>
        <w:rPr>
          <w:rStyle w:val="EndnoteReference"/>
        </w:rPr>
        <w:endnoteReference w:id="27"/>
      </w:r>
      <w:r>
        <w:t xml:space="preserve">  Along with health effects, obesity can cause social and emotional effects to people.  Children and teenagers can be teased or ostracized at school or among social groups.  Adults can be discriminated in the workplace or in public.</w:t>
      </w:r>
    </w:p>
    <w:p w:rsidR="005A46BD" w:rsidRDefault="005A46BD" w:rsidP="005A46BD">
      <w:pPr>
        <w:tabs>
          <w:tab w:val="left" w:pos="4544"/>
        </w:tabs>
      </w:pPr>
      <w:r>
        <w:t>Charts below show that the</w:t>
      </w:r>
      <w:r w:rsidRPr="008C4006">
        <w:t xml:space="preserve"> percent of Minnesotans overweight or obese has risen througho</w:t>
      </w:r>
      <w:r>
        <w:t xml:space="preserve">ut the years.  Starting in 1995 </w:t>
      </w:r>
      <w:r w:rsidRPr="008C4006">
        <w:t xml:space="preserve">50.6 percent of its total population </w:t>
      </w:r>
      <w:r>
        <w:t>was</w:t>
      </w:r>
      <w:r w:rsidRPr="008C4006">
        <w:t xml:space="preserve"> overweight or obese </w:t>
      </w:r>
      <w:r>
        <w:t xml:space="preserve">and </w:t>
      </w:r>
      <w:r w:rsidRPr="008C4006">
        <w:t>it has risen to 63.1 percent in 2010 – a 12.5 percent increase.  Based on Minnesota's population in 2010, an additional 662,000 individuals becam</w:t>
      </w:r>
      <w:r>
        <w:t>e overweight or obese within that</w:t>
      </w:r>
      <w:r w:rsidRPr="008C4006">
        <w:t xml:space="preserve"> 15 year span.</w:t>
      </w:r>
      <w:r>
        <w:t xml:space="preserve"> </w:t>
      </w:r>
      <w:r w:rsidRPr="008C4006">
        <w:t xml:space="preserve">Within the </w:t>
      </w:r>
      <w:r>
        <w:t xml:space="preserve">Horizon Community Health </w:t>
      </w:r>
      <w:r w:rsidR="0039597A">
        <w:t>Board area</w:t>
      </w:r>
      <w:r w:rsidRPr="008C4006">
        <w:t xml:space="preserve">, the percentage of individuals </w:t>
      </w:r>
      <w:r w:rsidRPr="008C4006">
        <w:lastRenderedPageBreak/>
        <w:t xml:space="preserve">overweight or obese is equal to that of the state of Minnesota.  Based </w:t>
      </w:r>
      <w:r>
        <w:t xml:space="preserve">on </w:t>
      </w:r>
      <w:r w:rsidRPr="008C4006">
        <w:t xml:space="preserve">the population size of the </w:t>
      </w:r>
      <w:r>
        <w:t xml:space="preserve">Horizon Community Health </w:t>
      </w:r>
      <w:r w:rsidR="0039597A">
        <w:t>Board area</w:t>
      </w:r>
      <w:r w:rsidRPr="008C4006">
        <w:t xml:space="preserve"> in 2010,</w:t>
      </w:r>
      <w:r>
        <w:t xml:space="preserve"> approximately</w:t>
      </w:r>
      <w:r w:rsidRPr="008C4006">
        <w:t xml:space="preserve"> 8,300 individuals became overweight or obese within</w:t>
      </w:r>
      <w:r>
        <w:t xml:space="preserve"> </w:t>
      </w:r>
      <w:r w:rsidRPr="008C4006">
        <w:t>the 15 year span.</w:t>
      </w:r>
    </w:p>
    <w:p w:rsidR="005A46BD" w:rsidRDefault="005A46BD" w:rsidP="005A46BD">
      <w:r>
        <w:t xml:space="preserve">The chart </w:t>
      </w:r>
      <w:r w:rsidR="0039597A">
        <w:t>showing the percent of overweight Horizon r</w:t>
      </w:r>
      <w:r>
        <w:t xml:space="preserve">esidents </w:t>
      </w:r>
      <w:r w:rsidR="0039597A">
        <w:t>reveals</w:t>
      </w:r>
      <w:r>
        <w:t xml:space="preserve"> a dramatic decrease since 2003.  However, this is misleading due to the fact that in the years 2003 to 2005 overweight and obesity percentages were combined.  In 2006 the two categories were separated.  If the two charts were added together the percentages would show a similar increase as what was found for Minnesota as a whole.  Stevens County has the smallest amount of individuals overweight or obese when compared to Minnesota and the other neighboring counties.  This could be due to the University of Minnesota, Morris being located within the county.  The students of the University are counted as residents and many are athletes for the school or participate in intramurals or various sports related clubs.  This is a factor that helps explain the decreasing percentage of the individuals overweight or obese within Stevens County.  </w:t>
      </w:r>
    </w:p>
    <w:p w:rsidR="005A46BD" w:rsidRDefault="005A46BD" w:rsidP="005A46BD">
      <w:r>
        <w:t>The increase in the amount of individuals becoming overweight or obese is partial</w:t>
      </w:r>
      <w:r w:rsidR="00875EF0">
        <w:t xml:space="preserve">ly due to the </w:t>
      </w:r>
      <w:r>
        <w:t xml:space="preserve">increase in the percentage of Minnesotans and Horizon </w:t>
      </w:r>
      <w:r w:rsidR="0039597A">
        <w:t xml:space="preserve">residents </w:t>
      </w:r>
      <w:r>
        <w:t xml:space="preserve">not exercising.  In 2004, the average percentage of individuals not exercising was 16 percent; roughly 10,500 residents in the Horizon Community Health </w:t>
      </w:r>
      <w:r w:rsidR="0039597A">
        <w:t>Board area</w:t>
      </w:r>
      <w:r>
        <w:t xml:space="preserve">.  Throughout the years, the percentage has risen slightly by one or two percent.  The Horizon Community Health </w:t>
      </w:r>
      <w:r w:rsidR="0039597A">
        <w:t xml:space="preserve">Board area </w:t>
      </w:r>
      <w:r>
        <w:t>has a higher percentage of individuals not exercising than Minnesota as a whole.</w:t>
      </w:r>
    </w:p>
    <w:p w:rsidR="005A46BD" w:rsidRDefault="005A46BD" w:rsidP="005A46BD">
      <w:r>
        <w:br w:type="page"/>
      </w:r>
    </w:p>
    <w:p w:rsidR="005A46BD" w:rsidRPr="000C7D9A" w:rsidRDefault="005A46BD" w:rsidP="005A46BD"/>
    <w:p w:rsidR="005A46BD" w:rsidRDefault="005A46BD" w:rsidP="005A46BD">
      <w:pPr>
        <w:rPr>
          <w:b/>
          <w:color w:val="000000" w:themeColor="text1"/>
          <w:sz w:val="24"/>
        </w:rPr>
        <w:sectPr w:rsidR="005A46BD" w:rsidSect="00E33B1E">
          <w:endnotePr>
            <w:numFmt w:val="decimal"/>
          </w:endnotePr>
          <w:type w:val="continuous"/>
          <w:pgSz w:w="12240" w:h="15840"/>
          <w:pgMar w:top="720" w:right="720" w:bottom="720" w:left="720" w:header="720" w:footer="720" w:gutter="0"/>
          <w:cols w:space="720"/>
          <w:docGrid w:linePitch="360"/>
        </w:sectPr>
      </w:pPr>
    </w:p>
    <w:p w:rsidR="005A46BD" w:rsidRPr="000C7D9A" w:rsidRDefault="005A46BD" w:rsidP="005A46BD">
      <w:pPr>
        <w:rPr>
          <w:b/>
          <w:i/>
          <w:color w:val="000000" w:themeColor="text1"/>
          <w:sz w:val="24"/>
        </w:rPr>
      </w:pPr>
      <w:r w:rsidRPr="000C7D9A">
        <w:rPr>
          <w:b/>
          <w:i/>
          <w:color w:val="000000" w:themeColor="text1"/>
          <w:sz w:val="24"/>
        </w:rPr>
        <w:t xml:space="preserve">% </w:t>
      </w:r>
      <w:r>
        <w:rPr>
          <w:b/>
          <w:i/>
          <w:color w:val="000000" w:themeColor="text1"/>
          <w:sz w:val="24"/>
        </w:rPr>
        <w:t>Horizon Residents</w:t>
      </w:r>
      <w:r w:rsidRPr="000C7D9A">
        <w:rPr>
          <w:b/>
          <w:i/>
          <w:color w:val="000000" w:themeColor="text1"/>
          <w:sz w:val="24"/>
        </w:rPr>
        <w:t xml:space="preserve"> Overweight</w:t>
      </w:r>
    </w:p>
    <w:p w:rsidR="005A46BD" w:rsidRDefault="005A46BD" w:rsidP="005A46BD">
      <w:pPr>
        <w:rPr>
          <w:b/>
          <w:color w:val="000000" w:themeColor="text1"/>
          <w:sz w:val="24"/>
        </w:rPr>
      </w:pPr>
      <w:r>
        <w:rPr>
          <w:noProof/>
        </w:rPr>
        <w:drawing>
          <wp:inline distT="0" distB="0" distL="0" distR="0" wp14:anchorId="30EAC502" wp14:editId="39949DA4">
            <wp:extent cx="3324225" cy="2200275"/>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A46BD" w:rsidRPr="000C7D9A" w:rsidRDefault="005A46BD" w:rsidP="005A46BD">
      <w:pPr>
        <w:pStyle w:val="NoSpacing"/>
        <w:rPr>
          <w:b/>
          <w:i/>
          <w:sz w:val="24"/>
        </w:rPr>
      </w:pPr>
      <w:r>
        <w:rPr>
          <w:b/>
          <w:i/>
          <w:sz w:val="24"/>
        </w:rPr>
        <w:t>% Horizon Residents</w:t>
      </w:r>
      <w:r w:rsidRPr="000C7D9A">
        <w:rPr>
          <w:b/>
          <w:i/>
          <w:sz w:val="24"/>
        </w:rPr>
        <w:t xml:space="preserve"> Obese</w:t>
      </w:r>
    </w:p>
    <w:p w:rsidR="005A46BD" w:rsidRDefault="005A46BD" w:rsidP="005A46BD">
      <w:pPr>
        <w:rPr>
          <w:i/>
          <w:noProof/>
          <w:color w:val="000000" w:themeColor="text1"/>
          <w:sz w:val="24"/>
        </w:rPr>
      </w:pPr>
      <w:r>
        <w:rPr>
          <w:noProof/>
        </w:rPr>
        <w:drawing>
          <wp:inline distT="0" distB="0" distL="0" distR="0" wp14:anchorId="48DCB346" wp14:editId="55D66D67">
            <wp:extent cx="3220278" cy="237744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46BD" w:rsidRDefault="005A46BD" w:rsidP="005A46BD">
      <w:pPr>
        <w:rPr>
          <w:i/>
          <w:color w:val="000000" w:themeColor="text1"/>
          <w:sz w:val="24"/>
        </w:rPr>
        <w:sectPr w:rsidR="005A46BD" w:rsidSect="00E33B1E">
          <w:type w:val="continuous"/>
          <w:pgSz w:w="12240" w:h="15840"/>
          <w:pgMar w:top="720" w:right="720" w:bottom="720" w:left="720" w:header="720" w:footer="720" w:gutter="0"/>
          <w:cols w:num="2" w:space="720"/>
          <w:docGrid w:linePitch="360"/>
        </w:sectPr>
      </w:pPr>
    </w:p>
    <w:p w:rsidR="005A46BD" w:rsidRDefault="005A46BD" w:rsidP="005A46BD">
      <w:pPr>
        <w:pStyle w:val="NoSpacing"/>
        <w:rPr>
          <w:b/>
          <w:i/>
          <w:sz w:val="24"/>
        </w:rPr>
      </w:pPr>
    </w:p>
    <w:p w:rsidR="005A46BD" w:rsidRDefault="005A46BD" w:rsidP="005A46BD">
      <w:pPr>
        <w:pStyle w:val="NoSpacing"/>
        <w:rPr>
          <w:b/>
          <w:i/>
          <w:sz w:val="24"/>
        </w:rPr>
      </w:pPr>
    </w:p>
    <w:tbl>
      <w:tblPr>
        <w:tblStyle w:val="TableGrid"/>
        <w:tblpPr w:leftFromText="180" w:rightFromText="180" w:vertAnchor="page" w:horzAnchor="margin" w:tblpXSpec="center" w:tblpY="6466"/>
        <w:tblW w:w="0" w:type="auto"/>
        <w:tblInd w:w="0" w:type="dxa"/>
        <w:tblLook w:val="04A0" w:firstRow="1" w:lastRow="0" w:firstColumn="1" w:lastColumn="0" w:noHBand="0" w:noVBand="1"/>
      </w:tblPr>
      <w:tblGrid>
        <w:gridCol w:w="653"/>
        <w:gridCol w:w="1801"/>
      </w:tblGrid>
      <w:tr w:rsidR="005B0F93" w:rsidTr="005B0F93">
        <w:trPr>
          <w:trHeight w:val="350"/>
        </w:trPr>
        <w:tc>
          <w:tcPr>
            <w:tcW w:w="653" w:type="dxa"/>
            <w:shd w:val="clear" w:color="auto" w:fill="5B9BD5" w:themeFill="accent1"/>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Minnesota</w:t>
            </w:r>
          </w:p>
        </w:tc>
      </w:tr>
      <w:tr w:rsidR="005B0F93" w:rsidTr="005B0F93">
        <w:trPr>
          <w:trHeight w:val="359"/>
        </w:trPr>
        <w:tc>
          <w:tcPr>
            <w:tcW w:w="653" w:type="dxa"/>
            <w:shd w:val="clear" w:color="auto" w:fill="ED7D31" w:themeFill="accent2"/>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Horizon</w:t>
            </w:r>
          </w:p>
        </w:tc>
      </w:tr>
      <w:tr w:rsidR="005B0F93" w:rsidTr="005B0F93">
        <w:trPr>
          <w:trHeight w:val="341"/>
        </w:trPr>
        <w:tc>
          <w:tcPr>
            <w:tcW w:w="653" w:type="dxa"/>
            <w:shd w:val="clear" w:color="auto" w:fill="A5A5A5" w:themeFill="accent3"/>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Douglas</w:t>
            </w:r>
          </w:p>
        </w:tc>
      </w:tr>
      <w:tr w:rsidR="005B0F93" w:rsidTr="005B0F93">
        <w:trPr>
          <w:trHeight w:val="350"/>
        </w:trPr>
        <w:tc>
          <w:tcPr>
            <w:tcW w:w="653" w:type="dxa"/>
            <w:shd w:val="clear" w:color="auto" w:fill="FFC000" w:themeFill="accent4"/>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Grant</w:t>
            </w:r>
          </w:p>
        </w:tc>
      </w:tr>
      <w:tr w:rsidR="005B0F93" w:rsidTr="005B0F93">
        <w:trPr>
          <w:trHeight w:val="350"/>
        </w:trPr>
        <w:tc>
          <w:tcPr>
            <w:tcW w:w="653" w:type="dxa"/>
            <w:shd w:val="clear" w:color="auto" w:fill="4472C4" w:themeFill="accent5"/>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Pope</w:t>
            </w:r>
          </w:p>
        </w:tc>
      </w:tr>
      <w:tr w:rsidR="005B0F93" w:rsidTr="005B0F93">
        <w:trPr>
          <w:trHeight w:val="359"/>
        </w:trPr>
        <w:tc>
          <w:tcPr>
            <w:tcW w:w="653" w:type="dxa"/>
            <w:shd w:val="clear" w:color="auto" w:fill="70AD47" w:themeFill="accent6"/>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Stevens</w:t>
            </w:r>
          </w:p>
        </w:tc>
      </w:tr>
      <w:tr w:rsidR="005B0F93" w:rsidTr="005B0F93">
        <w:trPr>
          <w:trHeight w:val="341"/>
        </w:trPr>
        <w:tc>
          <w:tcPr>
            <w:tcW w:w="653" w:type="dxa"/>
            <w:shd w:val="clear" w:color="auto" w:fill="9CC2E5" w:themeFill="accent1" w:themeFillTint="99"/>
          </w:tcPr>
          <w:p w:rsidR="005B0F93" w:rsidRDefault="005B0F93" w:rsidP="005B0F93">
            <w:pPr>
              <w:pStyle w:val="NoSpacing"/>
              <w:rPr>
                <w:b/>
                <w:color w:val="000000" w:themeColor="text1"/>
                <w:sz w:val="24"/>
              </w:rPr>
            </w:pPr>
          </w:p>
        </w:tc>
        <w:tc>
          <w:tcPr>
            <w:tcW w:w="1801" w:type="dxa"/>
          </w:tcPr>
          <w:p w:rsidR="005B0F93" w:rsidRDefault="005B0F93" w:rsidP="005B0F93">
            <w:pPr>
              <w:pStyle w:val="NoSpacing"/>
              <w:rPr>
                <w:b/>
                <w:color w:val="000000" w:themeColor="text1"/>
                <w:sz w:val="24"/>
              </w:rPr>
            </w:pPr>
            <w:r>
              <w:rPr>
                <w:b/>
                <w:color w:val="000000" w:themeColor="text1"/>
                <w:sz w:val="24"/>
              </w:rPr>
              <w:t>Traverse</w:t>
            </w:r>
          </w:p>
        </w:tc>
      </w:tr>
    </w:tbl>
    <w:p w:rsidR="005A46BD" w:rsidRDefault="005A46BD" w:rsidP="005A46BD">
      <w:pPr>
        <w:pStyle w:val="NoSpacing"/>
        <w:rPr>
          <w:b/>
          <w:i/>
          <w:sz w:val="24"/>
        </w:rPr>
      </w:pPr>
    </w:p>
    <w:p w:rsidR="005A46BD" w:rsidRDefault="005A46BD" w:rsidP="005A46BD">
      <w:pPr>
        <w:pStyle w:val="NoSpacing"/>
        <w:rPr>
          <w:b/>
          <w:i/>
          <w:sz w:val="24"/>
        </w:rPr>
      </w:pPr>
    </w:p>
    <w:p w:rsidR="005A46BD" w:rsidRDefault="005A46BD" w:rsidP="005A46BD">
      <w:pPr>
        <w:pStyle w:val="NoSpacing"/>
        <w:rPr>
          <w:b/>
          <w:i/>
          <w:sz w:val="24"/>
        </w:rPr>
        <w:sectPr w:rsidR="005A46BD" w:rsidSect="00E33B1E">
          <w:type w:val="continuous"/>
          <w:pgSz w:w="12240" w:h="15840"/>
          <w:pgMar w:top="720" w:right="720" w:bottom="720" w:left="720" w:header="720" w:footer="720" w:gutter="0"/>
          <w:cols w:space="720"/>
          <w:docGrid w:linePitch="360"/>
        </w:sectPr>
      </w:pPr>
    </w:p>
    <w:p w:rsidR="005A46BD" w:rsidRDefault="005A46BD" w:rsidP="005A46BD">
      <w:pPr>
        <w:pStyle w:val="NoSpacing"/>
        <w:rPr>
          <w:b/>
          <w:i/>
          <w:sz w:val="24"/>
        </w:rPr>
      </w:pPr>
    </w:p>
    <w:p w:rsidR="005A46BD" w:rsidRDefault="005A46BD" w:rsidP="005A46BD">
      <w:pPr>
        <w:pStyle w:val="NoSpacing"/>
        <w:jc w:val="center"/>
        <w:rPr>
          <w:b/>
          <w:i/>
          <w:sz w:val="24"/>
        </w:rPr>
        <w:sectPr w:rsidR="005A46BD" w:rsidSect="00E33B1E">
          <w:type w:val="continuous"/>
          <w:pgSz w:w="12240" w:h="15840"/>
          <w:pgMar w:top="720" w:right="720" w:bottom="720" w:left="720" w:header="720" w:footer="720" w:gutter="0"/>
          <w:cols w:space="720"/>
          <w:docGrid w:linePitch="360"/>
        </w:sectPr>
      </w:pPr>
    </w:p>
    <w:p w:rsidR="005A46BD" w:rsidRDefault="005A46BD" w:rsidP="005A46BD">
      <w:pPr>
        <w:pStyle w:val="NoSpacing"/>
        <w:jc w:val="center"/>
        <w:rPr>
          <w:b/>
          <w:i/>
          <w:sz w:val="24"/>
        </w:rPr>
      </w:pPr>
    </w:p>
    <w:p w:rsidR="005A46BD" w:rsidRDefault="005A46BD" w:rsidP="005A46BD">
      <w:pPr>
        <w:pStyle w:val="NoSpacing"/>
        <w:jc w:val="center"/>
        <w:rPr>
          <w:b/>
          <w:i/>
          <w:sz w:val="24"/>
        </w:rPr>
      </w:pPr>
    </w:p>
    <w:p w:rsidR="005A46BD" w:rsidRDefault="005A46BD" w:rsidP="005A46BD">
      <w:pPr>
        <w:pStyle w:val="NoSpacing"/>
        <w:jc w:val="center"/>
        <w:rPr>
          <w:b/>
          <w:i/>
          <w:sz w:val="24"/>
        </w:rPr>
      </w:pPr>
    </w:p>
    <w:p w:rsidR="005A46BD" w:rsidRDefault="005A46BD" w:rsidP="005A46BD">
      <w:pPr>
        <w:pStyle w:val="NoSpacing"/>
        <w:rPr>
          <w:b/>
          <w:i/>
          <w:sz w:val="24"/>
        </w:rPr>
      </w:pPr>
    </w:p>
    <w:p w:rsidR="005A46BD" w:rsidRDefault="005A46BD" w:rsidP="005A46BD">
      <w:pPr>
        <w:pStyle w:val="NoSpacing"/>
        <w:jc w:val="center"/>
        <w:rPr>
          <w:b/>
          <w:i/>
          <w:sz w:val="24"/>
        </w:rPr>
      </w:pPr>
    </w:p>
    <w:p w:rsidR="005A46BD" w:rsidRDefault="005A46BD" w:rsidP="005A46BD">
      <w:pPr>
        <w:pStyle w:val="NoSpacing"/>
        <w:jc w:val="center"/>
        <w:rPr>
          <w:b/>
          <w:i/>
          <w:sz w:val="24"/>
        </w:rPr>
      </w:pPr>
    </w:p>
    <w:p w:rsidR="005A46BD" w:rsidRDefault="005A46BD" w:rsidP="005A46BD">
      <w:pPr>
        <w:pStyle w:val="NoSpacing"/>
        <w:jc w:val="center"/>
        <w:rPr>
          <w:b/>
          <w:i/>
          <w:sz w:val="24"/>
        </w:rPr>
      </w:pPr>
      <w:r>
        <w:rPr>
          <w:b/>
          <w:i/>
          <w:sz w:val="24"/>
        </w:rPr>
        <w:t>% Horizon Residents</w:t>
      </w:r>
      <w:r w:rsidRPr="000C7D9A">
        <w:rPr>
          <w:b/>
          <w:i/>
          <w:sz w:val="24"/>
        </w:rPr>
        <w:t xml:space="preserve"> with No Exercise</w:t>
      </w:r>
    </w:p>
    <w:p w:rsidR="005A46BD" w:rsidRDefault="005A46BD" w:rsidP="005A46BD">
      <w:pPr>
        <w:pStyle w:val="NoSpacing"/>
        <w:jc w:val="center"/>
        <w:rPr>
          <w:b/>
          <w:noProof/>
          <w:color w:val="000000" w:themeColor="text1"/>
          <w:sz w:val="24"/>
        </w:rPr>
      </w:pPr>
      <w:r>
        <w:rPr>
          <w:noProof/>
        </w:rPr>
        <w:drawing>
          <wp:inline distT="0" distB="0" distL="0" distR="0" wp14:anchorId="5A26B042" wp14:editId="1944B5E9">
            <wp:extent cx="5759533" cy="3075709"/>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A46BD" w:rsidRDefault="005A46BD" w:rsidP="005A46BD">
      <w:pPr>
        <w:pStyle w:val="NoSpacing"/>
        <w:rPr>
          <w:b/>
          <w:sz w:val="24"/>
        </w:rPr>
      </w:pPr>
    </w:p>
    <w:p w:rsidR="005A46BD" w:rsidRPr="00875EF0" w:rsidRDefault="005A46BD" w:rsidP="005A46BD">
      <w:pPr>
        <w:pStyle w:val="NoSpacing"/>
        <w:rPr>
          <w:b/>
          <w:i/>
          <w:sz w:val="24"/>
        </w:rPr>
      </w:pPr>
      <w:r w:rsidRPr="00875EF0">
        <w:rPr>
          <w:i/>
        </w:rPr>
        <w:lastRenderedPageBreak/>
        <w:t>Source: MN Department of Health, Behavioral Risk Factor Surveillance System</w:t>
      </w:r>
    </w:p>
    <w:p w:rsidR="005A46BD" w:rsidRDefault="005A46BD" w:rsidP="005A46BD">
      <w:pPr>
        <w:pStyle w:val="NoSpacing"/>
        <w:rPr>
          <w:b/>
          <w:sz w:val="24"/>
        </w:rPr>
      </w:pPr>
    </w:p>
    <w:p w:rsidR="005A46BD" w:rsidRDefault="005A46BD" w:rsidP="005A46BD">
      <w:pPr>
        <w:pStyle w:val="NoSpacing"/>
      </w:pPr>
      <w:r>
        <w:t xml:space="preserve">Obesity and overweight children are becoming a large issue across the country and the Federal Government has recently approved new regulations for healthy school lunches.  As seen in the charts below, the Horizon Community Health </w:t>
      </w:r>
      <w:r w:rsidR="003C41E5">
        <w:t xml:space="preserve">Board area </w:t>
      </w:r>
      <w:r>
        <w:t>compares similarly to Minnesota for the percentage of ninth and twelfth graders overweight, obese or feels overweight.  However, there are some disparities when breaking down by county. Douglas County consistently has the lowest percentage of ninth and twelfth graders who are overweight, obese, or feel overweight.  Pope and Grant counties have some of the highest percentages, while all other counties fall between 10-15%  of ninth and twelfth graders overweight, 6-10% of ninth and twelfth graders obese, and 20-25% of ninth and twelf</w:t>
      </w:r>
      <w:r w:rsidR="004F576E">
        <w:t>th graders who feel overweight.</w:t>
      </w:r>
    </w:p>
    <w:p w:rsidR="005A46BD" w:rsidRDefault="005A46BD" w:rsidP="005A46BD">
      <w:pPr>
        <w:pStyle w:val="NoSpacing"/>
        <w:rPr>
          <w:b/>
          <w:sz w:val="24"/>
        </w:rPr>
      </w:pPr>
    </w:p>
    <w:tbl>
      <w:tblPr>
        <w:tblStyle w:val="TableGrid"/>
        <w:tblpPr w:leftFromText="180" w:rightFromText="180" w:vertAnchor="text" w:horzAnchor="margin" w:tblpXSpec="center" w:tblpY="-224"/>
        <w:tblW w:w="0" w:type="auto"/>
        <w:tblInd w:w="0" w:type="dxa"/>
        <w:tblLook w:val="04A0" w:firstRow="1" w:lastRow="0" w:firstColumn="1" w:lastColumn="0" w:noHBand="0" w:noVBand="1"/>
      </w:tblPr>
      <w:tblGrid>
        <w:gridCol w:w="558"/>
        <w:gridCol w:w="720"/>
      </w:tblGrid>
      <w:tr w:rsidR="005A46BD" w:rsidTr="00E33B1E">
        <w:tc>
          <w:tcPr>
            <w:tcW w:w="558" w:type="dxa"/>
            <w:shd w:val="clear" w:color="auto" w:fill="0070C0"/>
          </w:tcPr>
          <w:p w:rsidR="005A46BD" w:rsidRDefault="005A46BD" w:rsidP="00E33B1E">
            <w:pPr>
              <w:pStyle w:val="NoSpacing"/>
              <w:rPr>
                <w:b/>
                <w:sz w:val="24"/>
              </w:rPr>
            </w:pPr>
          </w:p>
        </w:tc>
        <w:tc>
          <w:tcPr>
            <w:tcW w:w="720" w:type="dxa"/>
          </w:tcPr>
          <w:p w:rsidR="005A46BD" w:rsidRDefault="005A46BD" w:rsidP="00E33B1E">
            <w:pPr>
              <w:pStyle w:val="NoSpacing"/>
              <w:rPr>
                <w:b/>
                <w:sz w:val="24"/>
              </w:rPr>
            </w:pPr>
            <w:r>
              <w:rPr>
                <w:b/>
                <w:sz w:val="24"/>
              </w:rPr>
              <w:t>2007</w:t>
            </w:r>
          </w:p>
        </w:tc>
      </w:tr>
      <w:tr w:rsidR="005A46BD" w:rsidTr="00E33B1E">
        <w:tc>
          <w:tcPr>
            <w:tcW w:w="558" w:type="dxa"/>
            <w:shd w:val="clear" w:color="auto" w:fill="C00000"/>
          </w:tcPr>
          <w:p w:rsidR="005A46BD" w:rsidRDefault="005A46BD" w:rsidP="00E33B1E">
            <w:pPr>
              <w:pStyle w:val="NoSpacing"/>
              <w:rPr>
                <w:b/>
                <w:sz w:val="24"/>
              </w:rPr>
            </w:pPr>
          </w:p>
        </w:tc>
        <w:tc>
          <w:tcPr>
            <w:tcW w:w="720" w:type="dxa"/>
          </w:tcPr>
          <w:p w:rsidR="005A46BD" w:rsidRDefault="005A46BD" w:rsidP="00E33B1E">
            <w:pPr>
              <w:pStyle w:val="NoSpacing"/>
              <w:rPr>
                <w:b/>
                <w:sz w:val="24"/>
              </w:rPr>
            </w:pPr>
            <w:r>
              <w:rPr>
                <w:b/>
                <w:sz w:val="24"/>
              </w:rPr>
              <w:t>2010</w:t>
            </w:r>
          </w:p>
        </w:tc>
      </w:tr>
    </w:tbl>
    <w:p w:rsidR="005A46BD" w:rsidRPr="001D3257" w:rsidRDefault="005A46BD" w:rsidP="005A46BD">
      <w:pPr>
        <w:pStyle w:val="NoSpacing"/>
        <w:rPr>
          <w:b/>
          <w:i/>
          <w:color w:val="000000" w:themeColor="text1"/>
          <w:sz w:val="24"/>
        </w:rPr>
      </w:pPr>
      <w:r w:rsidRPr="001D3257">
        <w:rPr>
          <w:b/>
          <w:i/>
          <w:sz w:val="24"/>
        </w:rPr>
        <w:t>Percent 9</w:t>
      </w:r>
      <w:r w:rsidRPr="001D3257">
        <w:rPr>
          <w:b/>
          <w:i/>
          <w:sz w:val="24"/>
          <w:vertAlign w:val="superscript"/>
        </w:rPr>
        <w:t>th</w:t>
      </w:r>
      <w:r w:rsidRPr="001D3257">
        <w:rPr>
          <w:b/>
          <w:i/>
          <w:sz w:val="24"/>
        </w:rPr>
        <w:t xml:space="preserve"> Graders Overweight (BMI)*</w:t>
      </w:r>
    </w:p>
    <w:p w:rsidR="005A46BD" w:rsidRPr="0011679E" w:rsidRDefault="005A46BD" w:rsidP="005A46BD">
      <w:pPr>
        <w:pStyle w:val="NoSpacing"/>
        <w:rPr>
          <w:b/>
          <w:color w:val="000000" w:themeColor="text1"/>
          <w:sz w:val="24"/>
        </w:rPr>
      </w:pPr>
    </w:p>
    <w:p w:rsidR="005A46BD" w:rsidRDefault="005A46BD" w:rsidP="005A46BD">
      <w:pPr>
        <w:pStyle w:val="NoSpacing"/>
        <w:rPr>
          <w:b/>
          <w:sz w:val="24"/>
        </w:rPr>
      </w:pPr>
      <w:r>
        <w:rPr>
          <w:noProof/>
        </w:rPr>
        <w:drawing>
          <wp:inline distT="0" distB="0" distL="0" distR="0" wp14:anchorId="0DB0B48E" wp14:editId="4F0B5B17">
            <wp:extent cx="6832121" cy="2182483"/>
            <wp:effectExtent l="0" t="0" r="6985" b="889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A46BD" w:rsidRDefault="005A46BD" w:rsidP="005A46BD">
      <w:pPr>
        <w:pStyle w:val="NoSpacing"/>
        <w:rPr>
          <w:b/>
          <w:sz w:val="24"/>
        </w:rPr>
      </w:pPr>
    </w:p>
    <w:p w:rsidR="005A46BD" w:rsidRPr="001D3257" w:rsidRDefault="005A46BD" w:rsidP="005A46BD">
      <w:pPr>
        <w:pStyle w:val="NoSpacing"/>
        <w:rPr>
          <w:b/>
          <w:i/>
          <w:sz w:val="24"/>
        </w:rPr>
      </w:pPr>
      <w:r w:rsidRPr="001D3257">
        <w:rPr>
          <w:b/>
          <w:i/>
          <w:sz w:val="24"/>
        </w:rPr>
        <w:t>Percent 9</w:t>
      </w:r>
      <w:r w:rsidRPr="001D3257">
        <w:rPr>
          <w:b/>
          <w:i/>
          <w:sz w:val="24"/>
          <w:vertAlign w:val="superscript"/>
        </w:rPr>
        <w:t>th</w:t>
      </w:r>
      <w:r w:rsidRPr="001D3257">
        <w:rPr>
          <w:b/>
          <w:i/>
          <w:sz w:val="24"/>
        </w:rPr>
        <w:t xml:space="preserve"> Graders Obese (BMI)*</w:t>
      </w:r>
    </w:p>
    <w:p w:rsidR="005A46BD" w:rsidRDefault="005A46BD" w:rsidP="005A46BD">
      <w:pPr>
        <w:pStyle w:val="NoSpacing"/>
        <w:rPr>
          <w:b/>
          <w:sz w:val="24"/>
        </w:rPr>
      </w:pPr>
    </w:p>
    <w:p w:rsidR="005A46BD" w:rsidRDefault="005A46BD" w:rsidP="005A46BD">
      <w:pPr>
        <w:pStyle w:val="NoSpacing"/>
        <w:rPr>
          <w:b/>
          <w:sz w:val="24"/>
        </w:rPr>
      </w:pPr>
      <w:r>
        <w:rPr>
          <w:noProof/>
        </w:rPr>
        <w:drawing>
          <wp:inline distT="0" distB="0" distL="0" distR="0" wp14:anchorId="17D95513" wp14:editId="07A1850F">
            <wp:extent cx="6832121" cy="2199736"/>
            <wp:effectExtent l="0" t="0" r="698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A46BD" w:rsidRDefault="005A46BD" w:rsidP="005A46BD">
      <w:pPr>
        <w:pStyle w:val="NoSpacing"/>
        <w:rPr>
          <w:noProof/>
        </w:rPr>
        <w:sectPr w:rsidR="005A46BD" w:rsidSect="00E33B1E">
          <w:type w:val="continuous"/>
          <w:pgSz w:w="12240" w:h="15840"/>
          <w:pgMar w:top="720" w:right="720" w:bottom="720" w:left="720" w:header="720" w:footer="720" w:gutter="0"/>
          <w:cols w:space="720"/>
          <w:docGrid w:linePitch="360"/>
        </w:sectPr>
      </w:pPr>
    </w:p>
    <w:p w:rsidR="005A46BD" w:rsidRDefault="005A46BD" w:rsidP="005A46BD">
      <w:pPr>
        <w:pStyle w:val="NoSpacing"/>
        <w:rPr>
          <w:b/>
          <w:noProof/>
        </w:rPr>
      </w:pPr>
    </w:p>
    <w:p w:rsidR="001D3257" w:rsidRDefault="001D3257" w:rsidP="005A46BD">
      <w:pPr>
        <w:pStyle w:val="NoSpacing"/>
        <w:rPr>
          <w:b/>
          <w:noProof/>
        </w:rPr>
      </w:pPr>
    </w:p>
    <w:p w:rsidR="001D3257" w:rsidRDefault="001D3257" w:rsidP="005A46BD">
      <w:pPr>
        <w:pStyle w:val="NoSpacing"/>
        <w:rPr>
          <w:b/>
          <w:noProof/>
        </w:rPr>
      </w:pPr>
    </w:p>
    <w:p w:rsidR="001D3257" w:rsidRDefault="001D3257" w:rsidP="005A46BD">
      <w:pPr>
        <w:pStyle w:val="NoSpacing"/>
        <w:rPr>
          <w:b/>
          <w:noProof/>
        </w:rPr>
      </w:pPr>
    </w:p>
    <w:p w:rsidR="001D3257" w:rsidRDefault="001D3257" w:rsidP="005A46BD">
      <w:pPr>
        <w:pStyle w:val="NoSpacing"/>
        <w:rPr>
          <w:b/>
          <w:noProof/>
        </w:rPr>
      </w:pPr>
    </w:p>
    <w:p w:rsidR="001D3257" w:rsidRDefault="001D3257" w:rsidP="005A46BD">
      <w:pPr>
        <w:pStyle w:val="NoSpacing"/>
        <w:rPr>
          <w:b/>
          <w:noProof/>
        </w:rPr>
      </w:pPr>
    </w:p>
    <w:p w:rsidR="001D3257" w:rsidRDefault="001D3257" w:rsidP="005A46BD">
      <w:pPr>
        <w:pStyle w:val="NoSpacing"/>
        <w:rPr>
          <w:b/>
          <w:noProof/>
        </w:rPr>
      </w:pPr>
    </w:p>
    <w:p w:rsidR="005A46BD" w:rsidRPr="001D3257" w:rsidRDefault="005A46BD" w:rsidP="005A46BD">
      <w:pPr>
        <w:pStyle w:val="NoSpacing"/>
        <w:rPr>
          <w:i/>
          <w:noProof/>
        </w:rPr>
      </w:pPr>
      <w:r w:rsidRPr="001D3257">
        <w:rPr>
          <w:b/>
          <w:i/>
          <w:noProof/>
        </w:rPr>
        <w:lastRenderedPageBreak/>
        <w:t>Percent 9</w:t>
      </w:r>
      <w:r w:rsidRPr="001D3257">
        <w:rPr>
          <w:b/>
          <w:i/>
          <w:noProof/>
          <w:vertAlign w:val="superscript"/>
        </w:rPr>
        <w:t>th</w:t>
      </w:r>
      <w:r w:rsidRPr="001D3257">
        <w:rPr>
          <w:b/>
          <w:i/>
          <w:noProof/>
        </w:rPr>
        <w:t xml:space="preserve"> Graders who Feel Overweight</w:t>
      </w:r>
    </w:p>
    <w:p w:rsidR="005A46BD" w:rsidRDefault="005A46BD" w:rsidP="005A46BD">
      <w:pPr>
        <w:pStyle w:val="NoSpacing"/>
        <w:rPr>
          <w:noProof/>
        </w:rPr>
      </w:pPr>
    </w:p>
    <w:p w:rsidR="005A46BD" w:rsidRPr="00560D0C" w:rsidRDefault="005A46BD" w:rsidP="005A46BD">
      <w:pPr>
        <w:pStyle w:val="NoSpacing"/>
        <w:rPr>
          <w:b/>
          <w:sz w:val="24"/>
        </w:rPr>
      </w:pPr>
      <w:r>
        <w:rPr>
          <w:noProof/>
        </w:rPr>
        <w:drawing>
          <wp:inline distT="0" distB="0" distL="0" distR="0" wp14:anchorId="2077B787" wp14:editId="2BC88911">
            <wp:extent cx="6819900" cy="20193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A46BD" w:rsidRDefault="005A46BD" w:rsidP="005A46BD">
      <w:pPr>
        <w:pStyle w:val="NoSpacing"/>
        <w:rPr>
          <w:b/>
          <w:sz w:val="24"/>
        </w:rPr>
      </w:pPr>
    </w:p>
    <w:p w:rsidR="005B0F93" w:rsidRDefault="005A46BD" w:rsidP="005A46BD">
      <w:pPr>
        <w:pStyle w:val="NoSpacing"/>
        <w:rPr>
          <w:b/>
          <w:sz w:val="24"/>
        </w:rPr>
      </w:pPr>
      <w:r>
        <w:rPr>
          <w:b/>
          <w:sz w:val="24"/>
        </w:rPr>
        <w:t>*(BMI) – According to their Body Mass Index</w:t>
      </w:r>
    </w:p>
    <w:p w:rsidR="005A46BD" w:rsidRPr="00875EF0" w:rsidRDefault="005A46BD" w:rsidP="005A46BD">
      <w:pPr>
        <w:pStyle w:val="NoSpacing"/>
        <w:rPr>
          <w:b/>
          <w:i/>
          <w:sz w:val="24"/>
        </w:rPr>
      </w:pPr>
      <w:r w:rsidRPr="00875EF0">
        <w:rPr>
          <w:i/>
        </w:rPr>
        <w:t>Source: MN Department of Health, Center for Health Statistics</w:t>
      </w:r>
      <w:r w:rsidRPr="00875EF0">
        <w:rPr>
          <w:b/>
          <w:i/>
          <w:sz w:val="24"/>
        </w:rPr>
        <w:br w:type="page"/>
      </w:r>
    </w:p>
    <w:tbl>
      <w:tblPr>
        <w:tblStyle w:val="TableGrid"/>
        <w:tblpPr w:leftFromText="180" w:rightFromText="180" w:vertAnchor="text" w:horzAnchor="page" w:tblpX="5409" w:tblpY="-40"/>
        <w:tblW w:w="0" w:type="auto"/>
        <w:tblInd w:w="0" w:type="dxa"/>
        <w:tblLook w:val="04A0" w:firstRow="1" w:lastRow="0" w:firstColumn="1" w:lastColumn="0" w:noHBand="0" w:noVBand="1"/>
      </w:tblPr>
      <w:tblGrid>
        <w:gridCol w:w="558"/>
        <w:gridCol w:w="720"/>
      </w:tblGrid>
      <w:tr w:rsidR="005A46BD" w:rsidTr="00E33B1E">
        <w:tc>
          <w:tcPr>
            <w:tcW w:w="558" w:type="dxa"/>
            <w:shd w:val="clear" w:color="auto" w:fill="0070C0"/>
          </w:tcPr>
          <w:p w:rsidR="005A46BD" w:rsidRDefault="005A46BD" w:rsidP="00E33B1E">
            <w:pPr>
              <w:pStyle w:val="NoSpacing"/>
              <w:rPr>
                <w:b/>
                <w:sz w:val="24"/>
              </w:rPr>
            </w:pPr>
          </w:p>
        </w:tc>
        <w:tc>
          <w:tcPr>
            <w:tcW w:w="720" w:type="dxa"/>
          </w:tcPr>
          <w:p w:rsidR="005A46BD" w:rsidRDefault="005A46BD" w:rsidP="00E33B1E">
            <w:pPr>
              <w:pStyle w:val="NoSpacing"/>
              <w:rPr>
                <w:b/>
                <w:sz w:val="24"/>
              </w:rPr>
            </w:pPr>
            <w:r>
              <w:rPr>
                <w:b/>
                <w:sz w:val="24"/>
              </w:rPr>
              <w:t>2007</w:t>
            </w:r>
          </w:p>
        </w:tc>
      </w:tr>
      <w:tr w:rsidR="005A46BD" w:rsidTr="00E33B1E">
        <w:tc>
          <w:tcPr>
            <w:tcW w:w="558" w:type="dxa"/>
            <w:shd w:val="clear" w:color="auto" w:fill="C00000"/>
          </w:tcPr>
          <w:p w:rsidR="005A46BD" w:rsidRDefault="005A46BD" w:rsidP="00E33B1E">
            <w:pPr>
              <w:pStyle w:val="NoSpacing"/>
              <w:rPr>
                <w:b/>
                <w:sz w:val="24"/>
              </w:rPr>
            </w:pPr>
          </w:p>
        </w:tc>
        <w:tc>
          <w:tcPr>
            <w:tcW w:w="720" w:type="dxa"/>
          </w:tcPr>
          <w:p w:rsidR="005A46BD" w:rsidRDefault="005A46BD" w:rsidP="00E33B1E">
            <w:pPr>
              <w:pStyle w:val="NoSpacing"/>
              <w:rPr>
                <w:b/>
                <w:sz w:val="24"/>
              </w:rPr>
            </w:pPr>
            <w:r>
              <w:rPr>
                <w:b/>
                <w:sz w:val="24"/>
              </w:rPr>
              <w:t>2010</w:t>
            </w:r>
          </w:p>
        </w:tc>
      </w:tr>
    </w:tbl>
    <w:p w:rsidR="005A46BD" w:rsidRPr="001D3257" w:rsidRDefault="005A46BD" w:rsidP="005A46BD">
      <w:pPr>
        <w:pStyle w:val="NoSpacing"/>
        <w:rPr>
          <w:b/>
          <w:i/>
          <w:sz w:val="24"/>
        </w:rPr>
      </w:pPr>
      <w:r w:rsidRPr="001D3257">
        <w:rPr>
          <w:b/>
          <w:i/>
          <w:sz w:val="24"/>
        </w:rPr>
        <w:t>Percent 12</w:t>
      </w:r>
      <w:r w:rsidRPr="001D3257">
        <w:rPr>
          <w:b/>
          <w:i/>
          <w:sz w:val="24"/>
          <w:vertAlign w:val="superscript"/>
        </w:rPr>
        <w:t>th</w:t>
      </w:r>
      <w:r w:rsidRPr="001D3257">
        <w:rPr>
          <w:b/>
          <w:i/>
          <w:sz w:val="24"/>
        </w:rPr>
        <w:t xml:space="preserve"> graders Overweight (BMI)*</w:t>
      </w:r>
    </w:p>
    <w:p w:rsidR="005A46BD" w:rsidRDefault="005A46BD" w:rsidP="005A46BD">
      <w:pPr>
        <w:pStyle w:val="NoSpacing"/>
        <w:rPr>
          <w:b/>
          <w:sz w:val="24"/>
        </w:rPr>
      </w:pPr>
    </w:p>
    <w:p w:rsidR="005A46BD" w:rsidRPr="0011679E" w:rsidRDefault="005A46BD" w:rsidP="005A46BD">
      <w:pPr>
        <w:pStyle w:val="NoSpacing"/>
        <w:rPr>
          <w:b/>
          <w:sz w:val="24"/>
        </w:rPr>
      </w:pPr>
      <w:r>
        <w:rPr>
          <w:noProof/>
        </w:rPr>
        <w:drawing>
          <wp:inline distT="0" distB="0" distL="0" distR="0" wp14:anchorId="37A239BD" wp14:editId="658DC94C">
            <wp:extent cx="6791325" cy="18573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A46BD" w:rsidRPr="00F73507" w:rsidRDefault="005A46BD" w:rsidP="005A46BD">
      <w:pPr>
        <w:pStyle w:val="NoSpacing"/>
        <w:rPr>
          <w:b/>
          <w:sz w:val="24"/>
        </w:rPr>
      </w:pPr>
    </w:p>
    <w:p w:rsidR="005A46BD" w:rsidRPr="001D3257" w:rsidRDefault="005A46BD" w:rsidP="005A46BD">
      <w:pPr>
        <w:pStyle w:val="NoSpacing"/>
        <w:rPr>
          <w:b/>
          <w:i/>
          <w:sz w:val="24"/>
        </w:rPr>
      </w:pPr>
      <w:r w:rsidRPr="001D3257">
        <w:rPr>
          <w:b/>
          <w:i/>
          <w:sz w:val="24"/>
        </w:rPr>
        <w:t>Percent 12th Graders Obese (BMI)*</w:t>
      </w:r>
    </w:p>
    <w:p w:rsidR="005A46BD" w:rsidRDefault="005A46BD" w:rsidP="005A46BD">
      <w:pPr>
        <w:pStyle w:val="NoSpacing"/>
        <w:rPr>
          <w:b/>
          <w:sz w:val="24"/>
        </w:rPr>
      </w:pPr>
    </w:p>
    <w:p w:rsidR="005A46BD" w:rsidRDefault="005A46BD" w:rsidP="005A46BD">
      <w:pPr>
        <w:pStyle w:val="NoSpacing"/>
        <w:rPr>
          <w:b/>
          <w:sz w:val="24"/>
        </w:rPr>
      </w:pPr>
      <w:r>
        <w:rPr>
          <w:noProof/>
        </w:rPr>
        <w:drawing>
          <wp:inline distT="0" distB="0" distL="0" distR="0" wp14:anchorId="7F4C2D97" wp14:editId="287E05C0">
            <wp:extent cx="6849374" cy="2147977"/>
            <wp:effectExtent l="0" t="0" r="8890" b="508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A46BD" w:rsidRDefault="005A46BD" w:rsidP="005A46BD">
      <w:pPr>
        <w:pStyle w:val="NoSpacing"/>
        <w:rPr>
          <w:b/>
          <w:sz w:val="24"/>
        </w:rPr>
      </w:pPr>
    </w:p>
    <w:p w:rsidR="005A46BD" w:rsidRPr="001D3257" w:rsidRDefault="005A46BD" w:rsidP="005A46BD">
      <w:pPr>
        <w:pStyle w:val="NoSpacing"/>
        <w:rPr>
          <w:b/>
          <w:i/>
          <w:sz w:val="24"/>
        </w:rPr>
      </w:pPr>
      <w:r w:rsidRPr="001D3257">
        <w:rPr>
          <w:b/>
          <w:i/>
          <w:sz w:val="24"/>
        </w:rPr>
        <w:t>Percent 12</w:t>
      </w:r>
      <w:r w:rsidRPr="001D3257">
        <w:rPr>
          <w:b/>
          <w:i/>
          <w:sz w:val="24"/>
          <w:vertAlign w:val="superscript"/>
        </w:rPr>
        <w:t>th</w:t>
      </w:r>
      <w:r w:rsidRPr="001D3257">
        <w:rPr>
          <w:b/>
          <w:i/>
          <w:sz w:val="24"/>
        </w:rPr>
        <w:t xml:space="preserve"> Graders Who Feel Overweight</w:t>
      </w:r>
    </w:p>
    <w:p w:rsidR="005A46BD" w:rsidRDefault="005A46BD" w:rsidP="005A46BD">
      <w:pPr>
        <w:pStyle w:val="NoSpacing"/>
        <w:rPr>
          <w:b/>
          <w:sz w:val="24"/>
        </w:rPr>
      </w:pPr>
    </w:p>
    <w:p w:rsidR="005A46BD" w:rsidRDefault="005A46BD" w:rsidP="005A46BD">
      <w:pPr>
        <w:pStyle w:val="NoSpacing"/>
        <w:rPr>
          <w:b/>
          <w:color w:val="000000" w:themeColor="text1"/>
          <w:sz w:val="24"/>
        </w:rPr>
      </w:pPr>
      <w:r>
        <w:rPr>
          <w:noProof/>
        </w:rPr>
        <w:drawing>
          <wp:inline distT="0" distB="0" distL="0" distR="0" wp14:anchorId="47C315AA" wp14:editId="2222FEB7">
            <wp:extent cx="6854024" cy="2377440"/>
            <wp:effectExtent l="0" t="0" r="4445" b="381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A46BD" w:rsidRDefault="005A46BD" w:rsidP="005A46BD">
      <w:pPr>
        <w:pStyle w:val="NoSpacing"/>
        <w:rPr>
          <w:b/>
          <w:color w:val="000000" w:themeColor="text1"/>
          <w:sz w:val="24"/>
        </w:rPr>
      </w:pPr>
    </w:p>
    <w:p w:rsidR="005A46BD" w:rsidRDefault="005A46BD" w:rsidP="005A46BD">
      <w:pPr>
        <w:pStyle w:val="NoSpacing"/>
        <w:rPr>
          <w:b/>
          <w:color w:val="000000" w:themeColor="text1"/>
          <w:sz w:val="24"/>
        </w:rPr>
      </w:pPr>
      <w:r>
        <w:rPr>
          <w:b/>
          <w:color w:val="000000" w:themeColor="text1"/>
          <w:sz w:val="24"/>
        </w:rPr>
        <w:t>*(BMI) – According to their Body Mass Index</w:t>
      </w:r>
    </w:p>
    <w:p w:rsidR="005A46BD" w:rsidRPr="00875EF0" w:rsidRDefault="005A46BD" w:rsidP="005A46BD">
      <w:pPr>
        <w:rPr>
          <w:b/>
          <w:i/>
          <w:color w:val="000000" w:themeColor="text1"/>
          <w:sz w:val="24"/>
        </w:rPr>
      </w:pPr>
      <w:r w:rsidRPr="00875EF0">
        <w:rPr>
          <w:i/>
        </w:rPr>
        <w:t>Source: MN Department of Health, Center for Health Statistics</w:t>
      </w:r>
      <w:r w:rsidRPr="00875EF0">
        <w:rPr>
          <w:b/>
          <w:i/>
          <w:color w:val="000000" w:themeColor="text1"/>
          <w:sz w:val="24"/>
        </w:rPr>
        <w:br w:type="page"/>
      </w:r>
    </w:p>
    <w:p w:rsidR="005A46BD" w:rsidRDefault="005A46BD" w:rsidP="005A46BD">
      <w:pPr>
        <w:pStyle w:val="NoSpacing"/>
        <w:rPr>
          <w:b/>
          <w:i/>
          <w:color w:val="000000" w:themeColor="text1"/>
          <w:sz w:val="24"/>
        </w:rPr>
        <w:sectPr w:rsidR="005A46BD" w:rsidSect="00E33B1E">
          <w:type w:val="continuous"/>
          <w:pgSz w:w="12240" w:h="15840"/>
          <w:pgMar w:top="720" w:right="720" w:bottom="720" w:left="720" w:header="720" w:footer="720" w:gutter="0"/>
          <w:cols w:space="720"/>
          <w:docGrid w:linePitch="360"/>
        </w:sectPr>
      </w:pPr>
    </w:p>
    <w:p w:rsidR="005A46BD" w:rsidRDefault="005A46BD" w:rsidP="005A46BD">
      <w:pPr>
        <w:pStyle w:val="NoSpacing"/>
        <w:rPr>
          <w:color w:val="000000" w:themeColor="text1"/>
        </w:rPr>
      </w:pPr>
      <w:r>
        <w:rPr>
          <w:color w:val="000000" w:themeColor="text1"/>
        </w:rPr>
        <w:lastRenderedPageBreak/>
        <w:t xml:space="preserve">The following table is a breakdown of the state and counties within the Horizon Community Health </w:t>
      </w:r>
      <w:r w:rsidR="003C41E5">
        <w:rPr>
          <w:color w:val="000000" w:themeColor="text1"/>
        </w:rPr>
        <w:t>Board area</w:t>
      </w:r>
      <w:r>
        <w:rPr>
          <w:color w:val="000000" w:themeColor="text1"/>
        </w:rPr>
        <w:t xml:space="preserve"> of overweight and obesity among WIC participants. Grant County had the highest percentage of overweight children aged two to five years receiving WIC with 20.2%. Grant County also had the highest percentage of overweight or obese women (pre</w:t>
      </w:r>
      <w:r w:rsidR="005B0F93">
        <w:rPr>
          <w:color w:val="000000" w:themeColor="text1"/>
        </w:rPr>
        <w:t>-</w:t>
      </w:r>
      <w:r>
        <w:rPr>
          <w:color w:val="000000" w:themeColor="text1"/>
        </w:rPr>
        <w:t xml:space="preserve">pregnancy) receiving WIC with 60.6%.  Traverse County had the highest percentage of obese children aged two to five years receiving WIC with 17.1%. However, the other counties were below the state percentage of 13.1%. </w:t>
      </w:r>
    </w:p>
    <w:p w:rsidR="005A46BD" w:rsidRPr="002737D3" w:rsidRDefault="005A46BD" w:rsidP="005A46BD">
      <w:pPr>
        <w:pStyle w:val="NoSpacing"/>
        <w:rPr>
          <w:color w:val="000000" w:themeColor="text1"/>
        </w:rPr>
      </w:pPr>
    </w:p>
    <w:p w:rsidR="005A46BD" w:rsidRPr="00D71969" w:rsidRDefault="005A46BD" w:rsidP="005A46BD">
      <w:pPr>
        <w:pStyle w:val="NoSpacing"/>
        <w:rPr>
          <w:b/>
          <w:i/>
          <w:color w:val="000000" w:themeColor="text1"/>
          <w:sz w:val="24"/>
        </w:rPr>
      </w:pPr>
      <w:r w:rsidRPr="00D71969">
        <w:rPr>
          <w:b/>
          <w:i/>
          <w:color w:val="000000" w:themeColor="text1"/>
          <w:sz w:val="24"/>
        </w:rPr>
        <w:t>Minnesota children aged two to five enrolled in WIC who are overweight or obese: 2010</w:t>
      </w:r>
    </w:p>
    <w:tbl>
      <w:tblPr>
        <w:tblW w:w="9465" w:type="dxa"/>
        <w:jc w:val="center"/>
        <w:tblLayout w:type="fixed"/>
        <w:tblLook w:val="04A0" w:firstRow="1" w:lastRow="0" w:firstColumn="1" w:lastColumn="0" w:noHBand="0" w:noVBand="1"/>
      </w:tblPr>
      <w:tblGrid>
        <w:gridCol w:w="1116"/>
        <w:gridCol w:w="2319"/>
        <w:gridCol w:w="1350"/>
        <w:gridCol w:w="810"/>
        <w:gridCol w:w="1530"/>
        <w:gridCol w:w="2340"/>
      </w:tblGrid>
      <w:tr w:rsidR="005A46BD" w:rsidRPr="000424DF" w:rsidTr="00E33B1E">
        <w:trPr>
          <w:trHeight w:val="330"/>
          <w:jc w:val="center"/>
        </w:trPr>
        <w:tc>
          <w:tcPr>
            <w:tcW w:w="11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 </w:t>
            </w:r>
          </w:p>
        </w:tc>
        <w:tc>
          <w:tcPr>
            <w:tcW w:w="231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2010 WIC Participants Unduplicated Counts</w:t>
            </w:r>
            <w:r w:rsidRPr="000424DF">
              <w:rPr>
                <w:rFonts w:ascii="Times New Roman" w:eastAsia="Times New Roman" w:hAnsi="Times New Roman" w:cs="Times New Roman"/>
                <w:b/>
                <w:bCs/>
                <w:sz w:val="20"/>
                <w:szCs w:val="20"/>
                <w:vertAlign w:val="superscript"/>
              </w:rPr>
              <w:t>1</w:t>
            </w:r>
          </w:p>
        </w:tc>
        <w:tc>
          <w:tcPr>
            <w:tcW w:w="603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2008-2010 Pediatric and Pregnancy Nutrition Surveillance</w:t>
            </w:r>
            <w:r w:rsidRPr="000424DF">
              <w:rPr>
                <w:rFonts w:ascii="Times New Roman" w:eastAsia="Times New Roman" w:hAnsi="Times New Roman" w:cs="Times New Roman"/>
                <w:b/>
                <w:bCs/>
                <w:sz w:val="20"/>
                <w:szCs w:val="20"/>
                <w:vertAlign w:val="superscript"/>
              </w:rPr>
              <w:t>2</w:t>
            </w:r>
          </w:p>
        </w:tc>
      </w:tr>
      <w:tr w:rsidR="005A46BD" w:rsidRPr="000424DF" w:rsidTr="00E33B1E">
        <w:trPr>
          <w:trHeight w:val="300"/>
          <w:jc w:val="center"/>
        </w:trPr>
        <w:tc>
          <w:tcPr>
            <w:tcW w:w="1116"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sz w:val="20"/>
                <w:szCs w:val="20"/>
              </w:rPr>
            </w:pPr>
          </w:p>
        </w:tc>
        <w:tc>
          <w:tcPr>
            <w:tcW w:w="2319"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b/>
                <w:bCs/>
                <w:sz w:val="20"/>
                <w:szCs w:val="20"/>
              </w:rPr>
            </w:pPr>
          </w:p>
        </w:tc>
        <w:tc>
          <w:tcPr>
            <w:tcW w:w="369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Infant and Child Health</w:t>
            </w:r>
          </w:p>
        </w:tc>
        <w:tc>
          <w:tcPr>
            <w:tcW w:w="234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Maternal Health</w:t>
            </w:r>
          </w:p>
        </w:tc>
      </w:tr>
      <w:tr w:rsidR="005A46BD" w:rsidRPr="000424DF" w:rsidTr="00E33B1E">
        <w:trPr>
          <w:trHeight w:val="300"/>
          <w:jc w:val="center"/>
        </w:trPr>
        <w:tc>
          <w:tcPr>
            <w:tcW w:w="1116"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sz w:val="20"/>
                <w:szCs w:val="20"/>
              </w:rPr>
            </w:pPr>
          </w:p>
        </w:tc>
        <w:tc>
          <w:tcPr>
            <w:tcW w:w="2319"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b/>
                <w:bCs/>
                <w:sz w:val="20"/>
                <w:szCs w:val="20"/>
              </w:rPr>
            </w:pPr>
          </w:p>
        </w:tc>
        <w:tc>
          <w:tcPr>
            <w:tcW w:w="3690" w:type="dxa"/>
            <w:gridSpan w:val="3"/>
            <w:tcBorders>
              <w:top w:val="single" w:sz="4" w:space="0" w:color="auto"/>
              <w:left w:val="nil"/>
              <w:bottom w:val="single" w:sz="4" w:space="0" w:color="auto"/>
              <w:right w:val="single" w:sz="4" w:space="0" w:color="000000"/>
            </w:tcBorders>
            <w:shd w:val="clear" w:color="auto" w:fill="auto"/>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Children 2-5 years</w:t>
            </w:r>
          </w:p>
        </w:tc>
        <w:tc>
          <w:tcPr>
            <w:tcW w:w="2340" w:type="dxa"/>
            <w:vMerge w:val="restart"/>
            <w:tcBorders>
              <w:top w:val="nil"/>
              <w:left w:val="single" w:sz="4" w:space="0" w:color="auto"/>
              <w:bottom w:val="single" w:sz="4" w:space="0" w:color="000000"/>
              <w:right w:val="single" w:sz="4" w:space="0" w:color="auto"/>
            </w:tcBorders>
            <w:shd w:val="clear" w:color="auto" w:fill="auto"/>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Women (</w:t>
            </w:r>
            <w:r w:rsidR="004E3072" w:rsidRPr="000424DF">
              <w:rPr>
                <w:rFonts w:ascii="Times New Roman" w:eastAsia="Times New Roman" w:hAnsi="Times New Roman" w:cs="Times New Roman"/>
                <w:b/>
                <w:bCs/>
                <w:sz w:val="20"/>
                <w:szCs w:val="20"/>
              </w:rPr>
              <w:t>Pre</w:t>
            </w:r>
            <w:r w:rsidR="004E3072">
              <w:rPr>
                <w:rFonts w:ascii="Times New Roman" w:eastAsia="Times New Roman" w:hAnsi="Times New Roman" w:cs="Times New Roman"/>
                <w:b/>
                <w:bCs/>
                <w:sz w:val="20"/>
                <w:szCs w:val="20"/>
              </w:rPr>
              <w:t>-</w:t>
            </w:r>
            <w:r w:rsidR="004E3072" w:rsidRPr="000424DF">
              <w:rPr>
                <w:rFonts w:ascii="Times New Roman" w:eastAsia="Times New Roman" w:hAnsi="Times New Roman" w:cs="Times New Roman"/>
                <w:b/>
                <w:bCs/>
                <w:sz w:val="20"/>
                <w:szCs w:val="20"/>
              </w:rPr>
              <w:t>pregnancy</w:t>
            </w:r>
            <w:r w:rsidRPr="000424DF">
              <w:rPr>
                <w:rFonts w:ascii="Times New Roman" w:eastAsia="Times New Roman" w:hAnsi="Times New Roman" w:cs="Times New Roman"/>
                <w:b/>
                <w:bCs/>
                <w:sz w:val="20"/>
                <w:szCs w:val="20"/>
              </w:rPr>
              <w:t>) - Overweight or Obese</w:t>
            </w:r>
            <w:r w:rsidRPr="000424DF">
              <w:rPr>
                <w:rFonts w:ascii="Times New Roman" w:eastAsia="Times New Roman" w:hAnsi="Times New Roman" w:cs="Times New Roman"/>
                <w:b/>
                <w:bCs/>
                <w:sz w:val="20"/>
                <w:szCs w:val="20"/>
                <w:vertAlign w:val="superscript"/>
              </w:rPr>
              <w:t>4</w:t>
            </w:r>
          </w:p>
        </w:tc>
      </w:tr>
      <w:tr w:rsidR="005A46BD" w:rsidRPr="000424DF" w:rsidTr="00E33B1E">
        <w:trPr>
          <w:trHeight w:val="330"/>
          <w:jc w:val="center"/>
        </w:trPr>
        <w:tc>
          <w:tcPr>
            <w:tcW w:w="1116"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sz w:val="20"/>
                <w:szCs w:val="20"/>
              </w:rPr>
            </w:pPr>
          </w:p>
        </w:tc>
        <w:tc>
          <w:tcPr>
            <w:tcW w:w="2319" w:type="dxa"/>
            <w:vMerge/>
            <w:tcBorders>
              <w:top w:val="single" w:sz="4" w:space="0" w:color="auto"/>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b/>
                <w:bCs/>
                <w:sz w:val="20"/>
                <w:szCs w:val="20"/>
              </w:rPr>
            </w:pPr>
          </w:p>
        </w:tc>
        <w:tc>
          <w:tcPr>
            <w:tcW w:w="135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Overweight</w:t>
            </w:r>
            <w:r w:rsidRPr="000424DF">
              <w:rPr>
                <w:rFonts w:ascii="Times New Roman" w:eastAsia="Times New Roman" w:hAnsi="Times New Roman" w:cs="Times New Roman"/>
                <w:b/>
                <w:bCs/>
                <w:sz w:val="20"/>
                <w:szCs w:val="20"/>
                <w:vertAlign w:val="superscript"/>
              </w:rPr>
              <w:t>3</w:t>
            </w:r>
          </w:p>
        </w:tc>
        <w:tc>
          <w:tcPr>
            <w:tcW w:w="81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Obese</w:t>
            </w:r>
            <w:r w:rsidRPr="000424DF">
              <w:rPr>
                <w:rFonts w:ascii="Times New Roman" w:eastAsia="Times New Roman" w:hAnsi="Times New Roman" w:cs="Times New Roman"/>
                <w:b/>
                <w:bCs/>
                <w:sz w:val="20"/>
                <w:szCs w:val="20"/>
                <w:vertAlign w:val="superscript"/>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Ever Breastfed</w:t>
            </w:r>
          </w:p>
        </w:tc>
        <w:tc>
          <w:tcPr>
            <w:tcW w:w="2340" w:type="dxa"/>
            <w:vMerge/>
            <w:tcBorders>
              <w:top w:val="nil"/>
              <w:left w:val="single" w:sz="4" w:space="0" w:color="auto"/>
              <w:bottom w:val="single" w:sz="4" w:space="0" w:color="000000"/>
              <w:right w:val="single" w:sz="4" w:space="0" w:color="auto"/>
            </w:tcBorders>
            <w:vAlign w:val="center"/>
            <w:hideMark/>
          </w:tcPr>
          <w:p w:rsidR="005A46BD" w:rsidRPr="000424DF" w:rsidRDefault="005A46BD" w:rsidP="00E33B1E">
            <w:pPr>
              <w:spacing w:after="0" w:line="240" w:lineRule="auto"/>
              <w:rPr>
                <w:rFonts w:ascii="Times New Roman" w:eastAsia="Times New Roman" w:hAnsi="Times New Roman" w:cs="Times New Roman"/>
                <w:b/>
                <w:bCs/>
                <w:sz w:val="20"/>
                <w:szCs w:val="20"/>
              </w:rPr>
            </w:pPr>
          </w:p>
        </w:tc>
      </w:tr>
      <w:tr w:rsidR="005A46BD" w:rsidRPr="000424DF" w:rsidTr="00E33B1E">
        <w:trPr>
          <w:trHeight w:val="315"/>
          <w:jc w:val="center"/>
        </w:trPr>
        <w:tc>
          <w:tcPr>
            <w:tcW w:w="1116" w:type="dxa"/>
            <w:tcBorders>
              <w:top w:val="nil"/>
              <w:left w:val="single" w:sz="4" w:space="0" w:color="auto"/>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State of Minnesota</w:t>
            </w:r>
          </w:p>
        </w:tc>
        <w:tc>
          <w:tcPr>
            <w:tcW w:w="2319" w:type="dxa"/>
            <w:tcBorders>
              <w:top w:val="nil"/>
              <w:left w:val="nil"/>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230,110</w:t>
            </w:r>
          </w:p>
        </w:tc>
        <w:tc>
          <w:tcPr>
            <w:tcW w:w="1350" w:type="dxa"/>
            <w:tcBorders>
              <w:top w:val="nil"/>
              <w:left w:val="nil"/>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16.7</w:t>
            </w:r>
          </w:p>
        </w:tc>
        <w:tc>
          <w:tcPr>
            <w:tcW w:w="810" w:type="dxa"/>
            <w:tcBorders>
              <w:top w:val="nil"/>
              <w:left w:val="nil"/>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13.1</w:t>
            </w:r>
          </w:p>
        </w:tc>
        <w:tc>
          <w:tcPr>
            <w:tcW w:w="1530" w:type="dxa"/>
            <w:tcBorders>
              <w:top w:val="nil"/>
              <w:left w:val="nil"/>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73.7</w:t>
            </w:r>
          </w:p>
        </w:tc>
        <w:tc>
          <w:tcPr>
            <w:tcW w:w="2340" w:type="dxa"/>
            <w:tcBorders>
              <w:top w:val="nil"/>
              <w:left w:val="nil"/>
              <w:bottom w:val="double" w:sz="6"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b/>
                <w:bCs/>
                <w:sz w:val="20"/>
                <w:szCs w:val="20"/>
              </w:rPr>
            </w:pPr>
            <w:r w:rsidRPr="000424DF">
              <w:rPr>
                <w:rFonts w:ascii="Times New Roman" w:eastAsia="Times New Roman" w:hAnsi="Times New Roman" w:cs="Times New Roman"/>
                <w:b/>
                <w:bCs/>
                <w:sz w:val="20"/>
                <w:szCs w:val="20"/>
              </w:rPr>
              <w:t>54.2</w:t>
            </w:r>
          </w:p>
        </w:tc>
      </w:tr>
      <w:tr w:rsidR="005A46BD" w:rsidRPr="000424DF" w:rsidTr="00E33B1E">
        <w:trPr>
          <w:trHeight w:val="315"/>
          <w:jc w:val="center"/>
        </w:trPr>
        <w:tc>
          <w:tcPr>
            <w:tcW w:w="111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Douglas</w:t>
            </w:r>
          </w:p>
        </w:tc>
        <w:tc>
          <w:tcPr>
            <w:tcW w:w="2319" w:type="dxa"/>
            <w:tcBorders>
              <w:top w:val="single" w:sz="4" w:space="0" w:color="auto"/>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1,558</w:t>
            </w:r>
          </w:p>
        </w:tc>
        <w:tc>
          <w:tcPr>
            <w:tcW w:w="1350" w:type="dxa"/>
            <w:tcBorders>
              <w:top w:val="single" w:sz="4" w:space="0" w:color="auto"/>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14.6</w:t>
            </w:r>
          </w:p>
        </w:tc>
        <w:tc>
          <w:tcPr>
            <w:tcW w:w="810" w:type="dxa"/>
            <w:tcBorders>
              <w:top w:val="single" w:sz="4" w:space="0" w:color="auto"/>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10.1</w:t>
            </w:r>
          </w:p>
        </w:tc>
        <w:tc>
          <w:tcPr>
            <w:tcW w:w="1530" w:type="dxa"/>
            <w:tcBorders>
              <w:top w:val="single" w:sz="4" w:space="0" w:color="auto"/>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73.5</w:t>
            </w:r>
          </w:p>
        </w:tc>
        <w:tc>
          <w:tcPr>
            <w:tcW w:w="2340" w:type="dxa"/>
            <w:tcBorders>
              <w:top w:val="single" w:sz="4" w:space="0" w:color="auto"/>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53.4</w:t>
            </w:r>
          </w:p>
        </w:tc>
      </w:tr>
      <w:tr w:rsidR="005A46BD" w:rsidRPr="000424DF" w:rsidTr="00E33B1E">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Grant</w:t>
            </w:r>
          </w:p>
        </w:tc>
        <w:tc>
          <w:tcPr>
            <w:tcW w:w="2319"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372</w:t>
            </w:r>
          </w:p>
        </w:tc>
        <w:tc>
          <w:tcPr>
            <w:tcW w:w="135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20.1</w:t>
            </w:r>
          </w:p>
        </w:tc>
        <w:tc>
          <w:tcPr>
            <w:tcW w:w="81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9.1</w:t>
            </w:r>
          </w:p>
        </w:tc>
        <w:tc>
          <w:tcPr>
            <w:tcW w:w="153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73.6</w:t>
            </w:r>
          </w:p>
        </w:tc>
        <w:tc>
          <w:tcPr>
            <w:tcW w:w="234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60.6</w:t>
            </w:r>
          </w:p>
        </w:tc>
      </w:tr>
      <w:tr w:rsidR="005A46BD" w:rsidRPr="000424DF" w:rsidTr="00E33B1E">
        <w:trPr>
          <w:trHeight w:val="300"/>
          <w:jc w:val="center"/>
        </w:trPr>
        <w:tc>
          <w:tcPr>
            <w:tcW w:w="1116" w:type="dxa"/>
            <w:tcBorders>
              <w:top w:val="nil"/>
              <w:left w:val="single" w:sz="4" w:space="0" w:color="auto"/>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Pope</w:t>
            </w:r>
          </w:p>
        </w:tc>
        <w:tc>
          <w:tcPr>
            <w:tcW w:w="2319"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594</w:t>
            </w:r>
          </w:p>
        </w:tc>
        <w:tc>
          <w:tcPr>
            <w:tcW w:w="135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16.5</w:t>
            </w:r>
          </w:p>
        </w:tc>
        <w:tc>
          <w:tcPr>
            <w:tcW w:w="81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8.4</w:t>
            </w:r>
          </w:p>
        </w:tc>
        <w:tc>
          <w:tcPr>
            <w:tcW w:w="153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76.2</w:t>
            </w:r>
          </w:p>
        </w:tc>
        <w:tc>
          <w:tcPr>
            <w:tcW w:w="234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58.8</w:t>
            </w:r>
          </w:p>
        </w:tc>
      </w:tr>
      <w:tr w:rsidR="005A46BD" w:rsidRPr="000424DF" w:rsidTr="00E33B1E">
        <w:trPr>
          <w:trHeight w:val="300"/>
          <w:jc w:val="center"/>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Stevens</w:t>
            </w:r>
          </w:p>
        </w:tc>
        <w:tc>
          <w:tcPr>
            <w:tcW w:w="2319"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506</w:t>
            </w:r>
          </w:p>
        </w:tc>
        <w:tc>
          <w:tcPr>
            <w:tcW w:w="135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14.3</w:t>
            </w:r>
          </w:p>
        </w:tc>
        <w:tc>
          <w:tcPr>
            <w:tcW w:w="81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11.2</w:t>
            </w:r>
          </w:p>
        </w:tc>
        <w:tc>
          <w:tcPr>
            <w:tcW w:w="153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81.9</w:t>
            </w:r>
          </w:p>
        </w:tc>
        <w:tc>
          <w:tcPr>
            <w:tcW w:w="2340" w:type="dxa"/>
            <w:tcBorders>
              <w:top w:val="nil"/>
              <w:left w:val="nil"/>
              <w:bottom w:val="single" w:sz="4" w:space="0" w:color="auto"/>
              <w:right w:val="single" w:sz="4" w:space="0" w:color="auto"/>
            </w:tcBorders>
            <w:shd w:val="clear" w:color="auto" w:fill="auto"/>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57.4</w:t>
            </w:r>
          </w:p>
        </w:tc>
      </w:tr>
      <w:tr w:rsidR="005A46BD" w:rsidRPr="000424DF" w:rsidTr="00E33B1E">
        <w:trPr>
          <w:trHeight w:val="300"/>
          <w:jc w:val="center"/>
        </w:trPr>
        <w:tc>
          <w:tcPr>
            <w:tcW w:w="1116" w:type="dxa"/>
            <w:tcBorders>
              <w:top w:val="nil"/>
              <w:left w:val="single" w:sz="4" w:space="0" w:color="auto"/>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Traverse</w:t>
            </w:r>
          </w:p>
        </w:tc>
        <w:tc>
          <w:tcPr>
            <w:tcW w:w="2319"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149</w:t>
            </w:r>
          </w:p>
        </w:tc>
        <w:tc>
          <w:tcPr>
            <w:tcW w:w="135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11.9</w:t>
            </w:r>
          </w:p>
        </w:tc>
        <w:tc>
          <w:tcPr>
            <w:tcW w:w="81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17.1</w:t>
            </w:r>
          </w:p>
        </w:tc>
        <w:tc>
          <w:tcPr>
            <w:tcW w:w="153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w:t>
            </w:r>
          </w:p>
        </w:tc>
        <w:tc>
          <w:tcPr>
            <w:tcW w:w="2340" w:type="dxa"/>
            <w:tcBorders>
              <w:top w:val="nil"/>
              <w:left w:val="nil"/>
              <w:bottom w:val="single" w:sz="4" w:space="0" w:color="auto"/>
              <w:right w:val="single" w:sz="4" w:space="0" w:color="auto"/>
            </w:tcBorders>
            <w:shd w:val="clear" w:color="000000" w:fill="8DB4E2"/>
            <w:noWrap/>
            <w:vAlign w:val="bottom"/>
            <w:hideMark/>
          </w:tcPr>
          <w:p w:rsidR="005A46BD" w:rsidRPr="000424DF" w:rsidRDefault="005A46BD" w:rsidP="00E33B1E">
            <w:pPr>
              <w:spacing w:after="0" w:line="240" w:lineRule="auto"/>
              <w:jc w:val="center"/>
              <w:rPr>
                <w:rFonts w:ascii="Times New Roman" w:eastAsia="Times New Roman" w:hAnsi="Times New Roman" w:cs="Times New Roman"/>
                <w:sz w:val="20"/>
                <w:szCs w:val="20"/>
              </w:rPr>
            </w:pPr>
            <w:r w:rsidRPr="000424DF">
              <w:rPr>
                <w:rFonts w:ascii="Times New Roman" w:eastAsia="Times New Roman" w:hAnsi="Times New Roman" w:cs="Times New Roman"/>
                <w:sz w:val="20"/>
                <w:szCs w:val="20"/>
              </w:rPr>
              <w:t>*</w:t>
            </w:r>
          </w:p>
        </w:tc>
      </w:tr>
    </w:tbl>
    <w:p w:rsidR="005A46BD" w:rsidRDefault="005A46BD" w:rsidP="005A46BD">
      <w:pPr>
        <w:rPr>
          <w:b/>
          <w:color w:val="000000" w:themeColor="text1"/>
          <w:sz w:val="24"/>
        </w:rPr>
      </w:pPr>
    </w:p>
    <w:tbl>
      <w:tblPr>
        <w:tblW w:w="9645" w:type="dxa"/>
        <w:jc w:val="center"/>
        <w:tblLook w:val="04A0" w:firstRow="1" w:lastRow="0" w:firstColumn="1" w:lastColumn="0" w:noHBand="0" w:noVBand="1"/>
      </w:tblPr>
      <w:tblGrid>
        <w:gridCol w:w="9645"/>
      </w:tblGrid>
      <w:tr w:rsidR="005A46BD" w:rsidRPr="00B01FAB" w:rsidTr="00E33B1E">
        <w:trPr>
          <w:trHeight w:val="300"/>
          <w:jc w:val="center"/>
        </w:trPr>
        <w:tc>
          <w:tcPr>
            <w:tcW w:w="9645" w:type="dxa"/>
            <w:vMerge w:val="restart"/>
            <w:tcBorders>
              <w:top w:val="nil"/>
              <w:left w:val="nil"/>
              <w:bottom w:val="nil"/>
              <w:right w:val="nil"/>
            </w:tcBorders>
            <w:shd w:val="clear" w:color="auto" w:fill="auto"/>
            <w:vAlign w:val="center"/>
            <w:hideMark/>
          </w:tcPr>
          <w:p w:rsidR="005A46BD" w:rsidRPr="00B01FAB" w:rsidRDefault="005A46BD" w:rsidP="00E33B1E">
            <w:pPr>
              <w:spacing w:after="0" w:line="240" w:lineRule="auto"/>
              <w:rPr>
                <w:rFonts w:ascii="Times New Roman" w:eastAsia="Times New Roman" w:hAnsi="Times New Roman" w:cs="Times New Roman"/>
                <w:sz w:val="16"/>
                <w:szCs w:val="20"/>
              </w:rPr>
            </w:pPr>
            <w:r w:rsidRPr="00B01FAB">
              <w:rPr>
                <w:rFonts w:ascii="Times New Roman" w:eastAsia="Times New Roman" w:hAnsi="Times New Roman" w:cs="Times New Roman"/>
                <w:sz w:val="16"/>
                <w:szCs w:val="20"/>
                <w:vertAlign w:val="superscript"/>
              </w:rPr>
              <w:t>1</w:t>
            </w:r>
            <w:r w:rsidRPr="00B01FAB">
              <w:rPr>
                <w:rFonts w:ascii="Times New Roman" w:eastAsia="Times New Roman" w:hAnsi="Times New Roman" w:cs="Times New Roman"/>
                <w:sz w:val="16"/>
                <w:szCs w:val="20"/>
              </w:rPr>
              <w:t xml:space="preserve">WIC Participants - Unduplicated Counts: The total number of pregnant, post-partum and nursing women, infants and children less than 5 years of age who received WIC vouchers.  County level data are determined by combining unduplicated participants of all clinics within a county's boundaries.  State total does not equal the sum of the counties because participants may move counties during the year. </w:t>
            </w:r>
          </w:p>
        </w:tc>
      </w:tr>
      <w:tr w:rsidR="005A46BD" w:rsidRPr="00B01FAB" w:rsidTr="00E33B1E">
        <w:trPr>
          <w:trHeight w:val="300"/>
          <w:jc w:val="center"/>
        </w:trPr>
        <w:tc>
          <w:tcPr>
            <w:tcW w:w="9645" w:type="dxa"/>
            <w:vMerge/>
            <w:tcBorders>
              <w:top w:val="nil"/>
              <w:left w:val="nil"/>
              <w:bottom w:val="nil"/>
              <w:right w:val="nil"/>
            </w:tcBorders>
            <w:vAlign w:val="center"/>
            <w:hideMark/>
          </w:tcPr>
          <w:p w:rsidR="005A46BD" w:rsidRPr="00B01FAB" w:rsidRDefault="005A46BD" w:rsidP="00E33B1E">
            <w:pPr>
              <w:spacing w:after="0" w:line="240" w:lineRule="auto"/>
              <w:rPr>
                <w:rFonts w:ascii="Times New Roman" w:eastAsia="Times New Roman" w:hAnsi="Times New Roman" w:cs="Times New Roman"/>
                <w:sz w:val="16"/>
                <w:szCs w:val="20"/>
              </w:rPr>
            </w:pPr>
          </w:p>
        </w:tc>
      </w:tr>
      <w:tr w:rsidR="005A46BD" w:rsidRPr="00B01FAB" w:rsidTr="00E33B1E">
        <w:trPr>
          <w:trHeight w:val="300"/>
          <w:jc w:val="center"/>
        </w:trPr>
        <w:tc>
          <w:tcPr>
            <w:tcW w:w="9645" w:type="dxa"/>
            <w:tcBorders>
              <w:top w:val="nil"/>
              <w:left w:val="nil"/>
              <w:bottom w:val="nil"/>
              <w:right w:val="nil"/>
            </w:tcBorders>
            <w:shd w:val="clear" w:color="auto" w:fill="auto"/>
            <w:vAlign w:val="bottom"/>
            <w:hideMark/>
          </w:tcPr>
          <w:p w:rsidR="005A46BD" w:rsidRPr="00B01FAB" w:rsidRDefault="005A46BD" w:rsidP="00E33B1E">
            <w:pPr>
              <w:spacing w:after="0" w:line="240" w:lineRule="auto"/>
              <w:rPr>
                <w:rFonts w:ascii="Times New Roman" w:eastAsia="Times New Roman" w:hAnsi="Times New Roman" w:cs="Times New Roman"/>
                <w:sz w:val="16"/>
                <w:szCs w:val="20"/>
              </w:rPr>
            </w:pPr>
            <w:r w:rsidRPr="00B01FAB">
              <w:rPr>
                <w:rFonts w:ascii="Times New Roman" w:eastAsia="Times New Roman" w:hAnsi="Times New Roman" w:cs="Times New Roman"/>
                <w:sz w:val="16"/>
                <w:szCs w:val="20"/>
                <w:vertAlign w:val="superscript"/>
              </w:rPr>
              <w:t>2</w:t>
            </w:r>
            <w:r w:rsidRPr="00B01FAB">
              <w:rPr>
                <w:rFonts w:ascii="Times New Roman" w:eastAsia="Times New Roman" w:hAnsi="Times New Roman" w:cs="Times New Roman"/>
                <w:sz w:val="16"/>
                <w:szCs w:val="20"/>
              </w:rPr>
              <w:t>Reporting period is January 1 through December 31.  Excludes records with unknown data or errors</w:t>
            </w:r>
            <w:r w:rsidRPr="00B01FAB">
              <w:rPr>
                <w:rFonts w:ascii="Times New Roman" w:eastAsia="Times New Roman" w:hAnsi="Times New Roman" w:cs="Times New Roman"/>
                <w:sz w:val="16"/>
                <w:szCs w:val="20"/>
              </w:rPr>
              <w:br/>
              <w:t>Data in this report were prepared by the Centers for Disease Control and Prevention’s (CDC’s) Pediatric Nutrition Surveillance System and the Pregnancy Nutrition Surveillance System.</w:t>
            </w:r>
            <w:r w:rsidRPr="00B01FAB">
              <w:rPr>
                <w:rFonts w:ascii="Times New Roman" w:eastAsia="Times New Roman" w:hAnsi="Times New Roman" w:cs="Times New Roman"/>
                <w:sz w:val="16"/>
                <w:szCs w:val="20"/>
              </w:rPr>
              <w:br/>
              <w:t>The Minnesota-specific data depicted in this table represent the status of children</w:t>
            </w:r>
            <w:r w:rsidRPr="00B01FAB">
              <w:rPr>
                <w:rFonts w:ascii="Times New Roman" w:eastAsia="Times New Roman" w:hAnsi="Times New Roman" w:cs="Times New Roman"/>
                <w:sz w:val="16"/>
                <w:szCs w:val="20"/>
              </w:rPr>
              <w:br/>
              <w:t xml:space="preserve">participating in the MN WIC Program in 2008-2010. Trend data do not necessarily include the same children from one year to the next, and so should not be interpreted to reflect changes in individual children’s health status. Rather the changes reflect health status of the population over time. </w:t>
            </w:r>
            <w:r w:rsidRPr="00B01FAB">
              <w:rPr>
                <w:rFonts w:ascii="Times New Roman" w:eastAsia="Times New Roman" w:hAnsi="Times New Roman" w:cs="Times New Roman"/>
                <w:sz w:val="16"/>
                <w:szCs w:val="20"/>
              </w:rPr>
              <w:br/>
              <w:t>Infants and children participating in WIC come from families with limited resources. Only families with incomes at or below 185% of federal poverty (or eligible to receive benefits from another program with comparable income guidelines), are eligible for WIC services. All children participating in WIC are considered at nutritional risk.</w:t>
            </w:r>
          </w:p>
        </w:tc>
      </w:tr>
      <w:tr w:rsidR="005A46BD" w:rsidRPr="00B01FAB" w:rsidTr="00E33B1E">
        <w:trPr>
          <w:trHeight w:val="300"/>
          <w:jc w:val="center"/>
        </w:trPr>
        <w:tc>
          <w:tcPr>
            <w:tcW w:w="9645" w:type="dxa"/>
            <w:vMerge w:val="restart"/>
            <w:tcBorders>
              <w:top w:val="nil"/>
              <w:left w:val="nil"/>
              <w:bottom w:val="nil"/>
              <w:right w:val="nil"/>
            </w:tcBorders>
            <w:shd w:val="clear" w:color="auto" w:fill="auto"/>
            <w:vAlign w:val="center"/>
            <w:hideMark/>
          </w:tcPr>
          <w:p w:rsidR="005A46BD" w:rsidRPr="00B01FAB" w:rsidRDefault="005A46BD" w:rsidP="00E33B1E">
            <w:pPr>
              <w:spacing w:after="0" w:line="240" w:lineRule="auto"/>
              <w:rPr>
                <w:rFonts w:ascii="Times New Roman" w:eastAsia="Times New Roman" w:hAnsi="Times New Roman" w:cs="Times New Roman"/>
                <w:sz w:val="16"/>
                <w:szCs w:val="20"/>
              </w:rPr>
            </w:pPr>
            <w:r w:rsidRPr="00B01FAB">
              <w:rPr>
                <w:rFonts w:ascii="Times New Roman" w:eastAsia="Times New Roman" w:hAnsi="Times New Roman" w:cs="Times New Roman"/>
                <w:sz w:val="16"/>
                <w:szCs w:val="20"/>
                <w:vertAlign w:val="superscript"/>
              </w:rPr>
              <w:t>3</w:t>
            </w:r>
            <w:r w:rsidRPr="00B01FAB">
              <w:rPr>
                <w:rFonts w:ascii="Times New Roman" w:eastAsia="Times New Roman" w:hAnsi="Times New Roman" w:cs="Times New Roman"/>
                <w:sz w:val="16"/>
                <w:szCs w:val="20"/>
              </w:rPr>
              <w:t>Based on 2000 CDC growth chart percentiles for BMI-for-age for children 2 years of age and older. Overweight children are in the 85th to less than 95th percentile category and obese children are in the equal to or greater than 95th percentile category</w:t>
            </w:r>
          </w:p>
        </w:tc>
      </w:tr>
      <w:tr w:rsidR="005A46BD" w:rsidRPr="00B01FAB" w:rsidTr="00E33B1E">
        <w:trPr>
          <w:trHeight w:val="300"/>
          <w:jc w:val="center"/>
        </w:trPr>
        <w:tc>
          <w:tcPr>
            <w:tcW w:w="9645" w:type="dxa"/>
            <w:vMerge/>
            <w:tcBorders>
              <w:top w:val="nil"/>
              <w:left w:val="nil"/>
              <w:bottom w:val="nil"/>
              <w:right w:val="nil"/>
            </w:tcBorders>
            <w:vAlign w:val="center"/>
            <w:hideMark/>
          </w:tcPr>
          <w:p w:rsidR="005A46BD" w:rsidRPr="00B01FAB" w:rsidRDefault="005A46BD" w:rsidP="00E33B1E">
            <w:pPr>
              <w:spacing w:after="0" w:line="240" w:lineRule="auto"/>
              <w:rPr>
                <w:rFonts w:ascii="Times New Roman" w:eastAsia="Times New Roman" w:hAnsi="Times New Roman" w:cs="Times New Roman"/>
                <w:sz w:val="16"/>
                <w:szCs w:val="20"/>
              </w:rPr>
            </w:pPr>
          </w:p>
        </w:tc>
      </w:tr>
      <w:tr w:rsidR="005A46BD" w:rsidRPr="00B01FAB" w:rsidTr="00E33B1E">
        <w:trPr>
          <w:trHeight w:val="300"/>
          <w:jc w:val="center"/>
        </w:trPr>
        <w:tc>
          <w:tcPr>
            <w:tcW w:w="9645" w:type="dxa"/>
            <w:tcBorders>
              <w:top w:val="nil"/>
              <w:left w:val="nil"/>
              <w:bottom w:val="nil"/>
              <w:right w:val="nil"/>
            </w:tcBorders>
            <w:shd w:val="clear" w:color="auto" w:fill="auto"/>
            <w:vAlign w:val="bottom"/>
            <w:hideMark/>
          </w:tcPr>
          <w:p w:rsidR="005A46BD" w:rsidRPr="00B01FAB" w:rsidRDefault="005A46BD" w:rsidP="00E33B1E">
            <w:pPr>
              <w:spacing w:after="0" w:line="240" w:lineRule="auto"/>
              <w:rPr>
                <w:rFonts w:ascii="Times New Roman" w:eastAsia="Times New Roman" w:hAnsi="Times New Roman" w:cs="Times New Roman"/>
                <w:sz w:val="16"/>
                <w:szCs w:val="20"/>
              </w:rPr>
            </w:pPr>
            <w:r w:rsidRPr="00B01FAB">
              <w:rPr>
                <w:rFonts w:ascii="Times New Roman" w:eastAsia="Times New Roman" w:hAnsi="Times New Roman" w:cs="Times New Roman"/>
                <w:sz w:val="16"/>
                <w:szCs w:val="20"/>
                <w:vertAlign w:val="superscript"/>
              </w:rPr>
              <w:t>4</w:t>
            </w:r>
            <w:r w:rsidRPr="00B01FAB">
              <w:rPr>
                <w:rFonts w:ascii="Times New Roman" w:eastAsia="Times New Roman" w:hAnsi="Times New Roman" w:cs="Times New Roman"/>
                <w:sz w:val="16"/>
                <w:szCs w:val="20"/>
              </w:rPr>
              <w:t>Prepregnancy overweight - Based on 2009 IOM report "Weight Gain During Pregnancy": underweight (BMI &lt;18.5), normal weight (BMI 18.5 to 24.9), overweight (BMI 25.0 to 29.0) Obese (BMI &gt;30.0)</w:t>
            </w:r>
          </w:p>
        </w:tc>
      </w:tr>
      <w:tr w:rsidR="005A46BD" w:rsidRPr="00B01FAB" w:rsidTr="00E33B1E">
        <w:trPr>
          <w:trHeight w:val="330"/>
          <w:jc w:val="center"/>
        </w:trPr>
        <w:tc>
          <w:tcPr>
            <w:tcW w:w="9645" w:type="dxa"/>
            <w:tcBorders>
              <w:top w:val="nil"/>
              <w:left w:val="nil"/>
              <w:bottom w:val="nil"/>
              <w:right w:val="nil"/>
            </w:tcBorders>
            <w:shd w:val="clear" w:color="auto" w:fill="auto"/>
            <w:noWrap/>
            <w:vAlign w:val="bottom"/>
            <w:hideMark/>
          </w:tcPr>
          <w:p w:rsidR="005A46BD" w:rsidRPr="00B01FAB" w:rsidRDefault="005A46BD" w:rsidP="00E33B1E">
            <w:pPr>
              <w:spacing w:after="0" w:line="240" w:lineRule="auto"/>
              <w:rPr>
                <w:rFonts w:ascii="Times New Roman" w:eastAsia="Times New Roman" w:hAnsi="Times New Roman" w:cs="Times New Roman"/>
                <w:sz w:val="16"/>
                <w:szCs w:val="20"/>
              </w:rPr>
            </w:pPr>
            <w:r w:rsidRPr="00B01FAB">
              <w:rPr>
                <w:rFonts w:ascii="Times New Roman" w:eastAsia="Times New Roman" w:hAnsi="Times New Roman" w:cs="Times New Roman"/>
                <w:sz w:val="16"/>
                <w:szCs w:val="20"/>
              </w:rPr>
              <w:t>For more data on WIC got to:</w:t>
            </w:r>
          </w:p>
        </w:tc>
      </w:tr>
      <w:tr w:rsidR="005A46BD" w:rsidRPr="00B01FAB" w:rsidTr="00E33B1E">
        <w:trPr>
          <w:trHeight w:val="300"/>
          <w:jc w:val="center"/>
        </w:trPr>
        <w:tc>
          <w:tcPr>
            <w:tcW w:w="9645" w:type="dxa"/>
            <w:tcBorders>
              <w:top w:val="nil"/>
              <w:left w:val="nil"/>
              <w:bottom w:val="nil"/>
              <w:right w:val="nil"/>
            </w:tcBorders>
            <w:shd w:val="clear" w:color="auto" w:fill="auto"/>
            <w:noWrap/>
            <w:vAlign w:val="bottom"/>
            <w:hideMark/>
          </w:tcPr>
          <w:p w:rsidR="005A46BD" w:rsidRPr="00B01FAB" w:rsidRDefault="00822C7F" w:rsidP="00E33B1E">
            <w:pPr>
              <w:spacing w:after="0" w:line="240" w:lineRule="auto"/>
              <w:rPr>
                <w:rFonts w:ascii="Times New Roman" w:eastAsia="Times New Roman" w:hAnsi="Times New Roman" w:cs="Times New Roman"/>
                <w:color w:val="0000FF"/>
                <w:sz w:val="16"/>
                <w:szCs w:val="20"/>
                <w:u w:val="single"/>
              </w:rPr>
            </w:pPr>
            <w:hyperlink r:id="rId69" w:history="1">
              <w:r w:rsidR="005A46BD" w:rsidRPr="00B01FAB">
                <w:rPr>
                  <w:rFonts w:ascii="Times New Roman" w:eastAsia="Times New Roman" w:hAnsi="Times New Roman" w:cs="Times New Roman"/>
                  <w:color w:val="0000FF"/>
                  <w:sz w:val="16"/>
                  <w:szCs w:val="20"/>
                  <w:u w:val="single"/>
                </w:rPr>
                <w:t>www.health.state.mn.us/divs/fh/wic/localagency/infosystem/pednss/index.html</w:t>
              </w:r>
            </w:hyperlink>
          </w:p>
        </w:tc>
      </w:tr>
    </w:tbl>
    <w:p w:rsidR="005A46BD" w:rsidRDefault="005A46BD" w:rsidP="005A46BD">
      <w:pPr>
        <w:pStyle w:val="Heading2"/>
      </w:pPr>
    </w:p>
    <w:p w:rsidR="005A46BD" w:rsidRDefault="005A46BD" w:rsidP="005A46BD">
      <w:pPr>
        <w:rPr>
          <w:rFonts w:asciiTheme="majorHAnsi" w:eastAsiaTheme="majorEastAsia" w:hAnsiTheme="majorHAnsi" w:cstheme="majorBidi"/>
          <w:sz w:val="32"/>
          <w:szCs w:val="26"/>
        </w:rPr>
      </w:pPr>
      <w:r>
        <w:br w:type="page"/>
      </w:r>
    </w:p>
    <w:p w:rsidR="00FC2371" w:rsidRPr="004013C2" w:rsidRDefault="00FC5A68" w:rsidP="00FC2371">
      <w:pPr>
        <w:pBdr>
          <w:bottom w:val="single" w:sz="8" w:space="4" w:color="5B9BD5" w:themeColor="accent1"/>
        </w:pBdr>
        <w:spacing w:after="300" w:line="240" w:lineRule="auto"/>
        <w:contextualSpacing/>
        <w:rPr>
          <w:rFonts w:ascii="Cambria" w:eastAsia="Times New Roman" w:hAnsi="Cambria" w:cs="Times New Roman"/>
          <w:color w:val="323E4F" w:themeColor="text2" w:themeShade="BF"/>
          <w:spacing w:val="5"/>
          <w:kern w:val="28"/>
          <w:sz w:val="52"/>
          <w:szCs w:val="52"/>
        </w:rPr>
      </w:pPr>
      <w:r>
        <w:rPr>
          <w:rFonts w:ascii="Cambria" w:eastAsia="Times New Roman" w:hAnsi="Cambria" w:cs="Times New Roman"/>
          <w:color w:val="323E4F" w:themeColor="text2" w:themeShade="BF"/>
          <w:spacing w:val="5"/>
          <w:kern w:val="28"/>
          <w:sz w:val="52"/>
          <w:szCs w:val="52"/>
        </w:rPr>
        <w:lastRenderedPageBreak/>
        <w:t xml:space="preserve">Preliminary </w:t>
      </w:r>
      <w:r w:rsidR="00FC2371">
        <w:rPr>
          <w:rFonts w:ascii="Cambria" w:eastAsia="Times New Roman" w:hAnsi="Cambria" w:cs="Times New Roman"/>
          <w:color w:val="323E4F" w:themeColor="text2" w:themeShade="BF"/>
          <w:spacing w:val="5"/>
          <w:kern w:val="28"/>
          <w:sz w:val="52"/>
          <w:szCs w:val="52"/>
        </w:rPr>
        <w:t>Conclusion</w:t>
      </w:r>
    </w:p>
    <w:p w:rsidR="008F4B01" w:rsidRDefault="008F4B01" w:rsidP="008F4B01">
      <w:pPr>
        <w:rPr>
          <w:sz w:val="24"/>
          <w:szCs w:val="24"/>
        </w:rPr>
      </w:pPr>
      <w:r>
        <w:rPr>
          <w:sz w:val="24"/>
          <w:szCs w:val="24"/>
        </w:rPr>
        <w:t xml:space="preserve">Minnesota statutes Chapter 145A requires the completion of a comprehensive Community Health Assessment (CHA). </w:t>
      </w:r>
      <w:r w:rsidR="00FC5A68">
        <w:rPr>
          <w:sz w:val="24"/>
          <w:szCs w:val="24"/>
        </w:rPr>
        <w:t xml:space="preserve">This document represents the first, and most lengthy, phase of the assessment process.  </w:t>
      </w:r>
      <w:r w:rsidR="003733FB">
        <w:rPr>
          <w:sz w:val="24"/>
          <w:szCs w:val="24"/>
        </w:rPr>
        <w:t>Th</w:t>
      </w:r>
      <w:r w:rsidR="00FD6A80">
        <w:rPr>
          <w:sz w:val="24"/>
          <w:szCs w:val="24"/>
        </w:rPr>
        <w:t>e</w:t>
      </w:r>
      <w:r w:rsidR="003733FB">
        <w:rPr>
          <w:sz w:val="24"/>
          <w:szCs w:val="24"/>
        </w:rPr>
        <w:t xml:space="preserve"> data</w:t>
      </w:r>
      <w:r w:rsidR="00FD6A80">
        <w:rPr>
          <w:sz w:val="24"/>
          <w:szCs w:val="24"/>
        </w:rPr>
        <w:t xml:space="preserve"> in this document</w:t>
      </w:r>
      <w:r w:rsidR="003733FB">
        <w:rPr>
          <w:sz w:val="24"/>
          <w:szCs w:val="24"/>
        </w:rPr>
        <w:t xml:space="preserve">, as well as </w:t>
      </w:r>
      <w:r>
        <w:rPr>
          <w:sz w:val="24"/>
          <w:szCs w:val="24"/>
        </w:rPr>
        <w:t>additional data</w:t>
      </w:r>
      <w:r w:rsidR="003733FB">
        <w:rPr>
          <w:sz w:val="24"/>
          <w:szCs w:val="24"/>
        </w:rPr>
        <w:t>,</w:t>
      </w:r>
      <w:r>
        <w:rPr>
          <w:sz w:val="24"/>
          <w:szCs w:val="24"/>
        </w:rPr>
        <w:t xml:space="preserve"> </w:t>
      </w:r>
      <w:r w:rsidR="00FD6A80">
        <w:rPr>
          <w:sz w:val="24"/>
          <w:szCs w:val="24"/>
        </w:rPr>
        <w:t>has been reviewed at great</w:t>
      </w:r>
      <w:r>
        <w:rPr>
          <w:sz w:val="24"/>
          <w:szCs w:val="24"/>
        </w:rPr>
        <w:t xml:space="preserve"> length with the members of the 5-County Community Partnership Team. </w:t>
      </w:r>
      <w:r w:rsidR="00FD6A80">
        <w:rPr>
          <w:sz w:val="24"/>
          <w:szCs w:val="24"/>
        </w:rPr>
        <w:t xml:space="preserve"> Following the application of the 2-step prioritization process, t</w:t>
      </w:r>
      <w:r w:rsidR="00187080">
        <w:rPr>
          <w:sz w:val="24"/>
          <w:szCs w:val="24"/>
        </w:rPr>
        <w:t>his assessment, and subsequent data, will be used as the basis for the development and implementation of a comprehensive community health improvement plan.</w:t>
      </w:r>
      <w:r w:rsidR="009E19D9">
        <w:rPr>
          <w:sz w:val="24"/>
          <w:szCs w:val="24"/>
        </w:rPr>
        <w:t xml:space="preserve"> This plan will </w:t>
      </w:r>
      <w:r w:rsidR="002E5803">
        <w:rPr>
          <w:sz w:val="24"/>
          <w:szCs w:val="24"/>
        </w:rPr>
        <w:t>be developed</w:t>
      </w:r>
      <w:r w:rsidR="009E19D9">
        <w:rPr>
          <w:sz w:val="24"/>
          <w:szCs w:val="24"/>
        </w:rPr>
        <w:t xml:space="preserve"> with </w:t>
      </w:r>
      <w:r w:rsidR="002E5803">
        <w:rPr>
          <w:sz w:val="24"/>
          <w:szCs w:val="24"/>
        </w:rPr>
        <w:t xml:space="preserve">the </w:t>
      </w:r>
      <w:r w:rsidR="009E19D9">
        <w:rPr>
          <w:sz w:val="24"/>
          <w:szCs w:val="24"/>
        </w:rPr>
        <w:t>collective input and</w:t>
      </w:r>
      <w:r w:rsidR="002E5803">
        <w:rPr>
          <w:sz w:val="24"/>
          <w:szCs w:val="24"/>
        </w:rPr>
        <w:t xml:space="preserve"> involvement of members of the Horizon C</w:t>
      </w:r>
      <w:r w:rsidR="009E19D9">
        <w:rPr>
          <w:sz w:val="24"/>
          <w:szCs w:val="24"/>
        </w:rPr>
        <w:t xml:space="preserve">ommunity </w:t>
      </w:r>
      <w:r w:rsidR="002E5803">
        <w:rPr>
          <w:sz w:val="24"/>
          <w:szCs w:val="24"/>
        </w:rPr>
        <w:t>P</w:t>
      </w:r>
      <w:r w:rsidR="009E19D9">
        <w:rPr>
          <w:sz w:val="24"/>
          <w:szCs w:val="24"/>
        </w:rPr>
        <w:t xml:space="preserve">artnership </w:t>
      </w:r>
      <w:r w:rsidR="002E5803">
        <w:rPr>
          <w:sz w:val="24"/>
          <w:szCs w:val="24"/>
        </w:rPr>
        <w:t>T</w:t>
      </w:r>
      <w:r w:rsidR="009E19D9">
        <w:rPr>
          <w:sz w:val="24"/>
          <w:szCs w:val="24"/>
        </w:rPr>
        <w:t>eam.</w:t>
      </w:r>
    </w:p>
    <w:p w:rsidR="008F4B01" w:rsidRPr="000321BE" w:rsidRDefault="008F4B01" w:rsidP="008F4B01">
      <w:pPr>
        <w:rPr>
          <w:sz w:val="24"/>
          <w:szCs w:val="24"/>
        </w:rPr>
      </w:pPr>
      <w:r>
        <w:rPr>
          <w:sz w:val="24"/>
          <w:szCs w:val="24"/>
        </w:rPr>
        <w:t>Questions about this Community Health Assessment, or of other related data, can be directed to the Public Health Administrator or to the Community Health Strategist/Accreditation Coordinator at Horizon Public Health.</w:t>
      </w:r>
    </w:p>
    <w:p w:rsidR="00803FC4" w:rsidRPr="00803FC4" w:rsidRDefault="00803FC4" w:rsidP="00803FC4">
      <w:pPr>
        <w:spacing w:after="200" w:line="276" w:lineRule="auto"/>
        <w:ind w:firstLine="720"/>
        <w:rPr>
          <w:rFonts w:ascii="Times New Roman" w:eastAsia="Calibri" w:hAnsi="Times New Roman" w:cs="Times New Roman"/>
          <w:sz w:val="24"/>
          <w:szCs w:val="24"/>
        </w:rPr>
      </w:pPr>
    </w:p>
    <w:p w:rsidR="00803FC4" w:rsidRDefault="00803FC4" w:rsidP="00803FC4">
      <w:pPr>
        <w:spacing w:after="200" w:line="276" w:lineRule="auto"/>
        <w:ind w:firstLine="720"/>
        <w:rPr>
          <w:rFonts w:ascii="Times New Roman" w:eastAsia="Calibri" w:hAnsi="Times New Roman" w:cs="Times New Roman"/>
          <w:sz w:val="24"/>
          <w:szCs w:val="24"/>
        </w:rPr>
      </w:pPr>
    </w:p>
    <w:p w:rsidR="003733FB" w:rsidRDefault="003733FB"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p w:rsidR="00FC5A68" w:rsidRDefault="00FC5A68" w:rsidP="00803FC4">
      <w:pPr>
        <w:spacing w:after="200" w:line="276" w:lineRule="auto"/>
        <w:ind w:firstLine="720"/>
        <w:rPr>
          <w:rFonts w:ascii="Times New Roman" w:eastAsia="Calibri" w:hAnsi="Times New Roman" w:cs="Times New Roman"/>
          <w:sz w:val="24"/>
          <w:szCs w:val="24"/>
        </w:rPr>
      </w:pPr>
    </w:p>
    <w:sectPr w:rsidR="00FC5A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D7C" w:rsidRDefault="00792D7C" w:rsidP="00803FC4">
      <w:pPr>
        <w:spacing w:after="0" w:line="240" w:lineRule="auto"/>
      </w:pPr>
      <w:r>
        <w:separator/>
      </w:r>
    </w:p>
  </w:endnote>
  <w:endnote w:type="continuationSeparator" w:id="0">
    <w:p w:rsidR="00792D7C" w:rsidRDefault="00792D7C" w:rsidP="00803FC4">
      <w:pPr>
        <w:spacing w:after="0" w:line="240" w:lineRule="auto"/>
      </w:pPr>
      <w:r>
        <w:continuationSeparator/>
      </w:r>
    </w:p>
  </w:endnote>
  <w:endnote w:id="1">
    <w:p w:rsidR="00792D7C" w:rsidRDefault="00792D7C" w:rsidP="002756E3">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World Health Organization. (1946; Revised 2006). </w:t>
      </w:r>
      <w:r w:rsidR="004E3072" w:rsidRPr="00620EF5">
        <w:rPr>
          <w:rFonts w:asciiTheme="minorHAnsi" w:hAnsiTheme="minorHAnsi"/>
          <w:i/>
        </w:rPr>
        <w:t>Constitution</w:t>
      </w:r>
      <w:r w:rsidRPr="00620EF5">
        <w:rPr>
          <w:rFonts w:asciiTheme="minorHAnsi" w:hAnsiTheme="minorHAnsi"/>
          <w:i/>
        </w:rPr>
        <w:t xml:space="preserve"> of the World Health Organization: Preamble. </w:t>
      </w:r>
      <w:r w:rsidRPr="00620EF5">
        <w:rPr>
          <w:rFonts w:asciiTheme="minorHAnsi" w:hAnsiTheme="minorHAnsi"/>
        </w:rPr>
        <w:t xml:space="preserve">Retrieved April 22, 2013 from </w:t>
      </w:r>
      <w:hyperlink r:id="rId1" w:history="1">
        <w:r w:rsidRPr="00620EF5">
          <w:rPr>
            <w:rStyle w:val="Hyperlink"/>
            <w:rFonts w:asciiTheme="minorHAnsi" w:hAnsiTheme="minorHAnsi"/>
          </w:rPr>
          <w:t>http://www.who.int/governance/eb/who_constitution_en.pdf</w:t>
        </w:r>
      </w:hyperlink>
    </w:p>
    <w:p w:rsidR="00620EF5" w:rsidRPr="00620EF5" w:rsidRDefault="00620EF5" w:rsidP="002756E3">
      <w:pPr>
        <w:pStyle w:val="EndnoteText"/>
        <w:rPr>
          <w:rFonts w:asciiTheme="minorHAnsi" w:hAnsiTheme="minorHAnsi"/>
        </w:rPr>
      </w:pPr>
    </w:p>
  </w:endnote>
  <w:endnote w:id="2">
    <w:p w:rsidR="00792D7C" w:rsidRPr="00620EF5" w:rsidRDefault="00792D7C" w:rsidP="002756E3">
      <w:pPr>
        <w:rPr>
          <w:sz w:val="20"/>
          <w:szCs w:val="20"/>
        </w:rPr>
      </w:pPr>
      <w:r w:rsidRPr="00620EF5">
        <w:rPr>
          <w:rStyle w:val="EndnoteReference"/>
          <w:sz w:val="20"/>
          <w:szCs w:val="20"/>
        </w:rPr>
        <w:endnoteRef/>
      </w:r>
      <w:r w:rsidRPr="00620EF5">
        <w:rPr>
          <w:sz w:val="20"/>
          <w:szCs w:val="20"/>
        </w:rPr>
        <w:t xml:space="preserve"> Institute of Medicine. (1998). </w:t>
      </w:r>
      <w:r w:rsidR="004E3072" w:rsidRPr="00620EF5">
        <w:rPr>
          <w:i/>
          <w:sz w:val="20"/>
          <w:szCs w:val="20"/>
        </w:rPr>
        <w:t>the</w:t>
      </w:r>
      <w:r w:rsidRPr="00620EF5">
        <w:rPr>
          <w:i/>
          <w:sz w:val="20"/>
          <w:szCs w:val="20"/>
        </w:rPr>
        <w:t xml:space="preserve"> future of public health. </w:t>
      </w:r>
      <w:r w:rsidRPr="00620EF5">
        <w:rPr>
          <w:sz w:val="20"/>
          <w:szCs w:val="20"/>
        </w:rPr>
        <w:t>Washington, DC: National Academy Press.</w:t>
      </w:r>
    </w:p>
  </w:endnote>
  <w:endnote w:id="3">
    <w:p w:rsidR="00792D7C" w:rsidRPr="00620EF5" w:rsidRDefault="00792D7C">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State Demographic Center (2016). </w:t>
      </w:r>
      <w:r w:rsidRPr="00620EF5">
        <w:rPr>
          <w:rFonts w:asciiTheme="minorHAnsi" w:hAnsiTheme="minorHAnsi"/>
          <w:i/>
        </w:rPr>
        <w:t>Demographic considerations for long-range &amp; strategic planning</w:t>
      </w:r>
      <w:r w:rsidRPr="00620EF5">
        <w:rPr>
          <w:rFonts w:asciiTheme="minorHAnsi" w:hAnsiTheme="minorHAnsi"/>
        </w:rPr>
        <w:t xml:space="preserve">. Retrieved from </w:t>
      </w:r>
      <w:hyperlink r:id="rId2" w:history="1">
        <w:r w:rsidRPr="00620EF5">
          <w:rPr>
            <w:rStyle w:val="Hyperlink"/>
            <w:rFonts w:asciiTheme="minorHAnsi" w:hAnsiTheme="minorHAnsi"/>
          </w:rPr>
          <w:t>http://mn.gov/admin/assets/demographic-considerations-planning-for-mn-leaders-msdc-march2016_tcm36-219453.pdf</w:t>
        </w:r>
      </w:hyperlink>
    </w:p>
    <w:p w:rsidR="00792D7C" w:rsidRPr="00620EF5" w:rsidRDefault="00792D7C">
      <w:pPr>
        <w:pStyle w:val="EndnoteText"/>
        <w:rPr>
          <w:rFonts w:asciiTheme="minorHAnsi" w:hAnsiTheme="minorHAnsi"/>
        </w:rPr>
      </w:pPr>
    </w:p>
  </w:endnote>
  <w:endnote w:id="4">
    <w:p w:rsidR="00792D7C" w:rsidRPr="00620EF5" w:rsidRDefault="00792D7C">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State Demographic Center (2014). Retrieved from </w:t>
      </w:r>
      <w:hyperlink r:id="rId3" w:history="1">
        <w:r w:rsidRPr="00620EF5">
          <w:rPr>
            <w:rStyle w:val="Hyperlink"/>
            <w:rFonts w:asciiTheme="minorHAnsi" w:hAnsiTheme="minorHAnsi"/>
          </w:rPr>
          <w:t>https://mn.gov/admin/demography/data-by-topic/population-data/our-projections/</w:t>
        </w:r>
      </w:hyperlink>
    </w:p>
    <w:p w:rsidR="00792D7C" w:rsidRPr="00620EF5" w:rsidRDefault="00792D7C">
      <w:pPr>
        <w:pStyle w:val="EndnoteText"/>
        <w:rPr>
          <w:rFonts w:asciiTheme="minorHAnsi" w:hAnsiTheme="minorHAnsi"/>
        </w:rPr>
      </w:pPr>
    </w:p>
  </w:endnote>
  <w:endnote w:id="5">
    <w:p w:rsidR="00792D7C" w:rsidRPr="00620EF5" w:rsidRDefault="00792D7C" w:rsidP="00803FC4">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Ro</w:t>
      </w:r>
      <w:r w:rsidR="004E3072" w:rsidRPr="00620EF5">
        <w:rPr>
          <w:rFonts w:asciiTheme="minorHAnsi" w:hAnsiTheme="minorHAnsi"/>
        </w:rPr>
        <w:t>b</w:t>
      </w:r>
      <w:r w:rsidRPr="00620EF5">
        <w:rPr>
          <w:rFonts w:asciiTheme="minorHAnsi" w:hAnsiTheme="minorHAnsi"/>
        </w:rPr>
        <w:t xml:space="preserve">ert Wood Johnson Foundation. (2011). </w:t>
      </w:r>
      <w:r w:rsidRPr="00620EF5">
        <w:rPr>
          <w:rFonts w:asciiTheme="minorHAnsi" w:hAnsiTheme="minorHAnsi"/>
          <w:i/>
        </w:rPr>
        <w:t xml:space="preserve">Exploring the social determinants of health: Education matters for health. </w:t>
      </w:r>
      <w:r w:rsidRPr="00620EF5">
        <w:rPr>
          <w:rFonts w:asciiTheme="minorHAnsi" w:hAnsiTheme="minorHAnsi"/>
        </w:rPr>
        <w:t xml:space="preserve">Retrieved from </w:t>
      </w:r>
      <w:hyperlink r:id="rId4" w:history="1">
        <w:r w:rsidRPr="00620EF5">
          <w:rPr>
            <w:rStyle w:val="Hyperlink"/>
            <w:rFonts w:asciiTheme="minorHAnsi" w:hAnsiTheme="minorHAnsi"/>
          </w:rPr>
          <w:t>http://www.rwjf.org/files/research/sdohseries2011education.pdf</w:t>
        </w:r>
      </w:hyperlink>
    </w:p>
    <w:p w:rsidR="00792D7C" w:rsidRPr="00620EF5" w:rsidRDefault="00792D7C" w:rsidP="00803FC4">
      <w:pPr>
        <w:pStyle w:val="EndnoteText"/>
        <w:rPr>
          <w:rFonts w:asciiTheme="minorHAnsi" w:hAnsiTheme="minorHAnsi"/>
        </w:rPr>
      </w:pPr>
    </w:p>
  </w:endnote>
  <w:endnote w:id="6">
    <w:p w:rsidR="00792D7C" w:rsidRPr="00620EF5" w:rsidRDefault="00792D7C" w:rsidP="00803FC4">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Department of Health. (2012). </w:t>
      </w:r>
      <w:r w:rsidRPr="00620EF5">
        <w:rPr>
          <w:rFonts w:asciiTheme="minorHAnsi" w:hAnsiTheme="minorHAnsi"/>
          <w:i/>
        </w:rPr>
        <w:t xml:space="preserve">The Health of Minnesota, Statewide Health Assessment: Part One. </w:t>
      </w:r>
      <w:r w:rsidRPr="00620EF5">
        <w:rPr>
          <w:rFonts w:asciiTheme="minorHAnsi" w:hAnsiTheme="minorHAnsi"/>
        </w:rPr>
        <w:t xml:space="preserve">Retrieved from </w:t>
      </w:r>
      <w:hyperlink r:id="rId5" w:history="1">
        <w:r w:rsidRPr="00620EF5">
          <w:rPr>
            <w:rStyle w:val="Hyperlink"/>
            <w:rFonts w:asciiTheme="minorHAnsi" w:hAnsiTheme="minorHAnsi"/>
          </w:rPr>
          <w:t>http://www.health.state.mn.us/healthymnpartnership/sha/docs/1204healthofminnesota.pdf</w:t>
        </w:r>
      </w:hyperlink>
    </w:p>
    <w:p w:rsidR="00792D7C" w:rsidRPr="00620EF5" w:rsidRDefault="00792D7C" w:rsidP="00803FC4">
      <w:pPr>
        <w:pStyle w:val="EndnoteText"/>
        <w:rPr>
          <w:rFonts w:asciiTheme="minorHAnsi" w:hAnsiTheme="minorHAnsi"/>
        </w:rPr>
      </w:pPr>
    </w:p>
  </w:endnote>
  <w:endnote w:id="7">
    <w:p w:rsidR="00792D7C" w:rsidRPr="00620EF5" w:rsidRDefault="00792D7C" w:rsidP="00875EF0">
      <w:pPr>
        <w:rPr>
          <w:sz w:val="20"/>
          <w:szCs w:val="20"/>
        </w:rPr>
      </w:pPr>
      <w:r w:rsidRPr="00620EF5">
        <w:rPr>
          <w:rStyle w:val="EndnoteReference"/>
          <w:sz w:val="20"/>
          <w:szCs w:val="20"/>
        </w:rPr>
        <w:endnoteRef/>
      </w:r>
      <w:r w:rsidRPr="00620EF5">
        <w:rPr>
          <w:sz w:val="20"/>
          <w:szCs w:val="20"/>
        </w:rPr>
        <w:t xml:space="preserve"> MDH (n.d.). Lead hazards and vintage items. Retrieved from </w:t>
      </w:r>
      <w:hyperlink r:id="rId6" w:history="1">
        <w:r w:rsidRPr="00620EF5">
          <w:rPr>
            <w:rStyle w:val="Hyperlink"/>
            <w:color w:val="auto"/>
            <w:sz w:val="20"/>
            <w:szCs w:val="20"/>
          </w:rPr>
          <w:t>http://www.health.state.mn.us/divs/eh/lead/vintage/index.html</w:t>
        </w:r>
      </w:hyperlink>
      <w:r w:rsidRPr="00620EF5">
        <w:rPr>
          <w:sz w:val="20"/>
          <w:szCs w:val="20"/>
        </w:rPr>
        <w:t xml:space="preserve"> </w:t>
      </w:r>
    </w:p>
  </w:endnote>
  <w:endnote w:id="8">
    <w:p w:rsidR="00792D7C" w:rsidRPr="00620EF5" w:rsidRDefault="00792D7C">
      <w:pPr>
        <w:pStyle w:val="EndnoteText"/>
        <w:rPr>
          <w:rFonts w:asciiTheme="minorHAnsi" w:eastAsia="Calibri" w:hAnsiTheme="minorHAnsi"/>
        </w:rPr>
      </w:pPr>
      <w:r w:rsidRPr="00620EF5">
        <w:rPr>
          <w:rStyle w:val="EndnoteReference"/>
          <w:rFonts w:asciiTheme="minorHAnsi" w:hAnsiTheme="minorHAnsi"/>
        </w:rPr>
        <w:endnoteRef/>
      </w:r>
      <w:r w:rsidRPr="00620EF5">
        <w:rPr>
          <w:rFonts w:asciiTheme="minorHAnsi" w:hAnsiTheme="minorHAnsi"/>
        </w:rPr>
        <w:t xml:space="preserve"> </w:t>
      </w:r>
      <w:r w:rsidRPr="00620EF5">
        <w:rPr>
          <w:rFonts w:asciiTheme="minorHAnsi" w:eastAsia="Calibri" w:hAnsiTheme="minorHAnsi"/>
        </w:rPr>
        <w:t xml:space="preserve">County Health Rankings (2017). Retrieved from </w:t>
      </w:r>
      <w:hyperlink r:id="rId7" w:history="1">
        <w:r w:rsidRPr="00620EF5">
          <w:rPr>
            <w:rStyle w:val="Hyperlink"/>
            <w:rFonts w:asciiTheme="minorHAnsi" w:eastAsia="Calibri" w:hAnsiTheme="minorHAnsi"/>
          </w:rPr>
          <w:t>http://www.countyhealthrankings.org/app/minnesota/2015/compare/snapshot?counties=27_051%2B27_121%2B27_149%2B27_155%2B27_041</w:t>
        </w:r>
      </w:hyperlink>
      <w:r w:rsidRPr="00620EF5">
        <w:rPr>
          <w:rFonts w:asciiTheme="minorHAnsi" w:eastAsia="Calibri" w:hAnsiTheme="minorHAnsi"/>
        </w:rPr>
        <w:t xml:space="preserve">) </w:t>
      </w:r>
    </w:p>
    <w:p w:rsidR="00792D7C" w:rsidRPr="00620EF5" w:rsidRDefault="00792D7C">
      <w:pPr>
        <w:pStyle w:val="EndnoteText"/>
        <w:rPr>
          <w:rFonts w:asciiTheme="minorHAnsi" w:hAnsiTheme="minorHAnsi"/>
        </w:rPr>
      </w:pPr>
    </w:p>
  </w:endnote>
  <w:endnote w:id="9">
    <w:p w:rsidR="00792D7C" w:rsidRPr="00620EF5" w:rsidRDefault="00792D7C">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County Tables (2016). Retrieved from </w:t>
      </w:r>
      <w:hyperlink r:id="rId8" w:history="1">
        <w:r w:rsidRPr="00620EF5">
          <w:rPr>
            <w:rStyle w:val="Hyperlink"/>
            <w:rFonts w:asciiTheme="minorHAnsi" w:hAnsiTheme="minorHAnsi"/>
          </w:rPr>
          <w:t>http://www.health.state.mn.us/divs/chs/mss/</w:t>
        </w:r>
      </w:hyperlink>
    </w:p>
    <w:p w:rsidR="00792D7C" w:rsidRPr="00620EF5" w:rsidRDefault="00792D7C">
      <w:pPr>
        <w:pStyle w:val="EndnoteText"/>
        <w:rPr>
          <w:rFonts w:asciiTheme="minorHAnsi" w:hAnsiTheme="minorHAnsi"/>
        </w:rPr>
      </w:pPr>
    </w:p>
  </w:endnote>
  <w:endnote w:id="10">
    <w:p w:rsidR="00792D7C" w:rsidRPr="00620EF5" w:rsidRDefault="00792D7C">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County Health Rankings (2016). Retrieved from </w:t>
      </w:r>
      <w:hyperlink r:id="rId9" w:history="1">
        <w:r w:rsidRPr="00620EF5">
          <w:rPr>
            <w:rStyle w:val="Hyperlink"/>
            <w:rFonts w:asciiTheme="minorHAnsi" w:hAnsiTheme="minorHAnsi"/>
          </w:rPr>
          <w:t>http://www.countyhealthrankings.org/app/minnesota/2016/compare/snapshot?counties=27_041%2B27_051%2B27_121%2B27_149%2B27_155</w:t>
        </w:r>
      </w:hyperlink>
      <w:r w:rsidRPr="00620EF5">
        <w:rPr>
          <w:rFonts w:asciiTheme="minorHAnsi" w:hAnsiTheme="minorHAnsi"/>
        </w:rPr>
        <w:t xml:space="preserve"> </w:t>
      </w:r>
    </w:p>
    <w:p w:rsidR="00792D7C" w:rsidRPr="00620EF5" w:rsidRDefault="00792D7C">
      <w:pPr>
        <w:pStyle w:val="EndnoteText"/>
        <w:rPr>
          <w:rFonts w:asciiTheme="minorHAnsi" w:hAnsiTheme="minorHAnsi"/>
        </w:rPr>
      </w:pPr>
    </w:p>
  </w:endnote>
  <w:endnote w:id="11">
    <w:p w:rsidR="00792D7C" w:rsidRPr="00620EF5" w:rsidRDefault="00792D7C">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CDC, n.d. National public health performance standards. Retrieved from </w:t>
      </w:r>
      <w:hyperlink r:id="rId10" w:history="1">
        <w:r w:rsidRPr="00620EF5">
          <w:rPr>
            <w:rStyle w:val="Hyperlink"/>
            <w:rFonts w:asciiTheme="minorHAnsi" w:hAnsiTheme="minorHAnsi"/>
          </w:rPr>
          <w:t>https://www.cdc.gov/nphpsp/essentialservices.html</w:t>
        </w:r>
      </w:hyperlink>
    </w:p>
    <w:p w:rsidR="00792D7C" w:rsidRPr="00620EF5" w:rsidRDefault="00792D7C">
      <w:pPr>
        <w:pStyle w:val="EndnoteText"/>
        <w:rPr>
          <w:rFonts w:asciiTheme="minorHAnsi" w:hAnsiTheme="minorHAnsi"/>
        </w:rPr>
      </w:pPr>
    </w:p>
  </w:endnote>
  <w:endnote w:id="12">
    <w:p w:rsidR="00792D7C" w:rsidRPr="00620EF5" w:rsidRDefault="00792D7C">
      <w:pPr>
        <w:pStyle w:val="EndnoteText"/>
        <w:rPr>
          <w:rStyle w:val="Hyperlink"/>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Premature birth (n.d.). Retrieved from </w:t>
      </w:r>
      <w:hyperlink r:id="rId11" w:history="1">
        <w:r w:rsidRPr="00620EF5">
          <w:rPr>
            <w:rStyle w:val="Hyperlink"/>
            <w:rFonts w:asciiTheme="minorHAnsi" w:hAnsiTheme="minorHAnsi"/>
          </w:rPr>
          <w:t>http://www.mayoclinic.org/diseases-conditions/premature-birth/basics/complications/CON-20020050</w:t>
        </w:r>
      </w:hyperlink>
    </w:p>
    <w:p w:rsidR="00792D7C" w:rsidRPr="00620EF5" w:rsidRDefault="00792D7C">
      <w:pPr>
        <w:pStyle w:val="EndnoteText"/>
        <w:rPr>
          <w:rFonts w:asciiTheme="minorHAnsi" w:hAnsiTheme="minorHAnsi"/>
        </w:rPr>
      </w:pPr>
    </w:p>
  </w:endnote>
  <w:endnote w:id="13">
    <w:p w:rsidR="00792D7C" w:rsidRPr="00620EF5" w:rsidRDefault="00792D7C">
      <w:pPr>
        <w:pStyle w:val="EndnoteText"/>
        <w:rPr>
          <w:rStyle w:val="Hyperlink"/>
          <w:rFonts w:asciiTheme="minorHAnsi" w:hAnsiTheme="minorHAnsi"/>
          <w:bCs/>
        </w:rPr>
      </w:pPr>
      <w:r w:rsidRPr="00620EF5">
        <w:rPr>
          <w:rStyle w:val="EndnoteReference"/>
          <w:rFonts w:asciiTheme="minorHAnsi" w:hAnsiTheme="minorHAnsi"/>
        </w:rPr>
        <w:endnoteRef/>
      </w:r>
      <w:r w:rsidRPr="00620EF5">
        <w:rPr>
          <w:rFonts w:asciiTheme="minorHAnsi" w:hAnsiTheme="minorHAnsi"/>
        </w:rPr>
        <w:t xml:space="preserve"> </w:t>
      </w:r>
      <w:r w:rsidRPr="00620EF5">
        <w:rPr>
          <w:rFonts w:asciiTheme="minorHAnsi" w:hAnsiTheme="minorHAnsi"/>
          <w:bCs/>
        </w:rPr>
        <w:t xml:space="preserve">Child Trends (2015). Births to unmarried women. Retrieved from </w:t>
      </w:r>
      <w:hyperlink r:id="rId12" w:history="1">
        <w:r w:rsidRPr="00620EF5">
          <w:rPr>
            <w:rStyle w:val="Hyperlink"/>
            <w:rFonts w:asciiTheme="minorHAnsi" w:hAnsiTheme="minorHAnsi"/>
            <w:bCs/>
          </w:rPr>
          <w:t>https://www.childtrends.org/indicators/births-to-unmarried-women/</w:t>
        </w:r>
      </w:hyperlink>
    </w:p>
    <w:p w:rsidR="00792D7C" w:rsidRPr="00620EF5" w:rsidRDefault="00792D7C">
      <w:pPr>
        <w:pStyle w:val="EndnoteText"/>
        <w:rPr>
          <w:rFonts w:asciiTheme="minorHAnsi" w:hAnsiTheme="minorHAnsi"/>
        </w:rPr>
      </w:pPr>
    </w:p>
  </w:endnote>
  <w:endnote w:id="14">
    <w:p w:rsidR="00792D7C" w:rsidRPr="00620EF5" w:rsidRDefault="00792D7C">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The importance of ensuring adequate child care in planning practice (2017). Retrieved from (</w:t>
      </w:r>
      <w:hyperlink r:id="rId13" w:history="1">
        <w:r w:rsidRPr="00620EF5">
          <w:rPr>
            <w:rStyle w:val="Hyperlink"/>
            <w:rFonts w:asciiTheme="minorHAnsi" w:hAnsiTheme="minorHAnsi"/>
          </w:rPr>
          <w:t>https://www.planning.org/research/family/briefingpapers/childcare.htm</w:t>
        </w:r>
      </w:hyperlink>
    </w:p>
    <w:p w:rsidR="00792D7C" w:rsidRPr="00620EF5" w:rsidRDefault="00792D7C">
      <w:pPr>
        <w:pStyle w:val="EndnoteText"/>
        <w:rPr>
          <w:rFonts w:asciiTheme="minorHAnsi" w:hAnsiTheme="minorHAnsi"/>
        </w:rPr>
      </w:pPr>
    </w:p>
  </w:endnote>
  <w:endnote w:id="15">
    <w:p w:rsidR="00792D7C" w:rsidRPr="00620EF5" w:rsidRDefault="00792D7C">
      <w:pPr>
        <w:pStyle w:val="EndnoteText"/>
        <w:rPr>
          <w:rStyle w:val="Hyperlink"/>
          <w:rFonts w:asciiTheme="minorHAnsi" w:eastAsia="Calibri" w:hAnsiTheme="minorHAnsi"/>
        </w:rPr>
      </w:pPr>
      <w:r w:rsidRPr="00620EF5">
        <w:rPr>
          <w:rStyle w:val="EndnoteReference"/>
          <w:rFonts w:asciiTheme="minorHAnsi" w:hAnsiTheme="minorHAnsi"/>
        </w:rPr>
        <w:endnoteRef/>
      </w:r>
      <w:r w:rsidRPr="00620EF5">
        <w:rPr>
          <w:rFonts w:asciiTheme="minorHAnsi" w:hAnsiTheme="minorHAnsi"/>
        </w:rPr>
        <w:t xml:space="preserve"> </w:t>
      </w:r>
      <w:r w:rsidRPr="00620EF5">
        <w:rPr>
          <w:rFonts w:asciiTheme="minorHAnsi" w:eastAsia="Calibri" w:hAnsiTheme="minorHAnsi"/>
        </w:rPr>
        <w:t xml:space="preserve">County Health Rankings (2017). Social associations. Retrieved from </w:t>
      </w:r>
      <w:hyperlink r:id="rId14" w:history="1">
        <w:r w:rsidRPr="00620EF5">
          <w:rPr>
            <w:rStyle w:val="Hyperlink"/>
            <w:rFonts w:asciiTheme="minorHAnsi" w:eastAsia="Calibri" w:hAnsiTheme="minorHAnsi"/>
          </w:rPr>
          <w:t>http://www.countyhealthrankings.org/app/minnesota/2017/measure/factors/140/description</w:t>
        </w:r>
      </w:hyperlink>
    </w:p>
    <w:p w:rsidR="00792D7C" w:rsidRPr="00620EF5" w:rsidRDefault="00792D7C">
      <w:pPr>
        <w:pStyle w:val="EndnoteText"/>
        <w:rPr>
          <w:rFonts w:asciiTheme="minorHAnsi" w:hAnsiTheme="minorHAnsi"/>
        </w:rPr>
      </w:pPr>
    </w:p>
  </w:endnote>
  <w:endnote w:id="16">
    <w:p w:rsidR="00792D7C" w:rsidRPr="00620EF5" w:rsidRDefault="00792D7C" w:rsidP="00803FC4">
      <w:pPr>
        <w:rPr>
          <w:sz w:val="20"/>
          <w:szCs w:val="20"/>
        </w:rPr>
      </w:pPr>
      <w:r w:rsidRPr="00620EF5">
        <w:rPr>
          <w:rStyle w:val="EndnoteReference"/>
          <w:sz w:val="20"/>
          <w:szCs w:val="20"/>
        </w:rPr>
        <w:endnoteRef/>
      </w:r>
      <w:r w:rsidRPr="00620EF5">
        <w:rPr>
          <w:sz w:val="20"/>
          <w:szCs w:val="20"/>
        </w:rPr>
        <w:t xml:space="preserve"> US Department of Health and Human Services. (2008). </w:t>
      </w:r>
      <w:r w:rsidRPr="00620EF5">
        <w:rPr>
          <w:i/>
          <w:sz w:val="20"/>
          <w:szCs w:val="20"/>
        </w:rPr>
        <w:t xml:space="preserve">2008 physical activity guidelines for Americans. </w:t>
      </w:r>
      <w:r w:rsidRPr="00620EF5">
        <w:rPr>
          <w:sz w:val="20"/>
          <w:szCs w:val="20"/>
        </w:rPr>
        <w:t xml:space="preserve">Retrieved from </w:t>
      </w:r>
      <w:hyperlink r:id="rId15" w:history="1">
        <w:r w:rsidRPr="00620EF5">
          <w:rPr>
            <w:rStyle w:val="Hyperlink"/>
            <w:sz w:val="20"/>
            <w:szCs w:val="20"/>
          </w:rPr>
          <w:t>http://www.health.gove/paguidedlines/</w:t>
        </w:r>
      </w:hyperlink>
    </w:p>
  </w:endnote>
  <w:endnote w:id="17">
    <w:p w:rsidR="00792D7C" w:rsidRPr="00620EF5" w:rsidRDefault="00792D7C">
      <w:pPr>
        <w:pStyle w:val="EndnoteText"/>
        <w:rPr>
          <w:rStyle w:val="Hyperlink"/>
          <w:rFonts w:asciiTheme="minorHAnsi" w:eastAsia="Calibri" w:hAnsiTheme="minorHAnsi"/>
        </w:rPr>
      </w:pPr>
      <w:r w:rsidRPr="00620EF5">
        <w:rPr>
          <w:rStyle w:val="EndnoteReference"/>
          <w:rFonts w:asciiTheme="minorHAnsi" w:hAnsiTheme="minorHAnsi"/>
        </w:rPr>
        <w:endnoteRef/>
      </w:r>
      <w:r w:rsidRPr="00620EF5">
        <w:rPr>
          <w:rFonts w:asciiTheme="minorHAnsi" w:hAnsiTheme="minorHAnsi"/>
        </w:rPr>
        <w:t xml:space="preserve"> </w:t>
      </w:r>
      <w:r w:rsidRPr="00620EF5">
        <w:rPr>
          <w:rFonts w:asciiTheme="minorHAnsi" w:eastAsia="Calibri" w:hAnsiTheme="minorHAnsi"/>
        </w:rPr>
        <w:t xml:space="preserve">Minnesota Student Survey (2016). Retrieved from </w:t>
      </w:r>
      <w:hyperlink r:id="rId16" w:history="1">
        <w:r w:rsidRPr="00620EF5">
          <w:rPr>
            <w:rStyle w:val="Hyperlink"/>
            <w:rFonts w:asciiTheme="minorHAnsi" w:eastAsia="Calibri" w:hAnsiTheme="minorHAnsi"/>
          </w:rPr>
          <w:t>http://www.health.state.mn.us/divs/chs/mss/countytables/index.cfm</w:t>
        </w:r>
      </w:hyperlink>
    </w:p>
    <w:p w:rsidR="00792D7C" w:rsidRPr="00620EF5" w:rsidRDefault="00792D7C">
      <w:pPr>
        <w:pStyle w:val="EndnoteText"/>
        <w:rPr>
          <w:rFonts w:asciiTheme="minorHAnsi" w:hAnsiTheme="minorHAnsi"/>
        </w:rPr>
      </w:pPr>
    </w:p>
  </w:endnote>
  <w:endnote w:id="18">
    <w:p w:rsidR="00792D7C" w:rsidRPr="00620EF5" w:rsidRDefault="00792D7C">
      <w:pPr>
        <w:pStyle w:val="EndnoteText"/>
        <w:rPr>
          <w:rStyle w:val="Hyperlink"/>
          <w:rFonts w:asciiTheme="minorHAnsi" w:eastAsia="Calibri" w:hAnsiTheme="minorHAnsi"/>
        </w:rPr>
      </w:pPr>
      <w:r w:rsidRPr="00620EF5">
        <w:rPr>
          <w:rStyle w:val="EndnoteReference"/>
          <w:rFonts w:asciiTheme="minorHAnsi" w:hAnsiTheme="minorHAnsi"/>
        </w:rPr>
        <w:endnoteRef/>
      </w:r>
      <w:r w:rsidRPr="00620EF5">
        <w:rPr>
          <w:rFonts w:asciiTheme="minorHAnsi" w:hAnsiTheme="minorHAnsi"/>
        </w:rPr>
        <w:t xml:space="preserve"> </w:t>
      </w:r>
      <w:r w:rsidRPr="00620EF5">
        <w:rPr>
          <w:rFonts w:asciiTheme="minorHAnsi" w:eastAsia="Calibri" w:hAnsiTheme="minorHAnsi"/>
        </w:rPr>
        <w:t xml:space="preserve">Healthy People 2020 (n.d). Retrieved from </w:t>
      </w:r>
      <w:hyperlink r:id="rId17" w:history="1">
        <w:r w:rsidRPr="00620EF5">
          <w:rPr>
            <w:rStyle w:val="Hyperlink"/>
            <w:rFonts w:asciiTheme="minorHAnsi" w:eastAsia="Calibri" w:hAnsiTheme="minorHAnsi"/>
          </w:rPr>
          <w:t>https://www.healthypeople.gov/2020/topics-objectives/topic/physical-activity</w:t>
        </w:r>
      </w:hyperlink>
    </w:p>
    <w:p w:rsidR="00792D7C" w:rsidRPr="00620EF5" w:rsidRDefault="00792D7C">
      <w:pPr>
        <w:pStyle w:val="EndnoteText"/>
        <w:rPr>
          <w:rFonts w:asciiTheme="minorHAnsi" w:hAnsiTheme="minorHAnsi"/>
        </w:rPr>
      </w:pPr>
    </w:p>
  </w:endnote>
  <w:endnote w:id="19">
    <w:p w:rsidR="00792D7C" w:rsidRPr="00620EF5" w:rsidRDefault="00792D7C" w:rsidP="00803FC4">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Department of Health, Chronic Disease Risk Reduction Unit. (2011). </w:t>
      </w:r>
      <w:r w:rsidRPr="00620EF5">
        <w:rPr>
          <w:rFonts w:asciiTheme="minorHAnsi" w:hAnsiTheme="minorHAnsi"/>
          <w:i/>
        </w:rPr>
        <w:t xml:space="preserve">Alcohol use in Minnesota. </w:t>
      </w:r>
      <w:r w:rsidRPr="00620EF5">
        <w:rPr>
          <w:rFonts w:asciiTheme="minorHAnsi" w:hAnsiTheme="minorHAnsi"/>
        </w:rPr>
        <w:t xml:space="preserve">Retrieved from </w:t>
      </w:r>
      <w:hyperlink r:id="rId18" w:history="1">
        <w:r w:rsidRPr="00620EF5">
          <w:rPr>
            <w:rStyle w:val="Hyperlink"/>
            <w:rFonts w:asciiTheme="minorHAnsi" w:hAnsiTheme="minorHAnsi"/>
          </w:rPr>
          <w:t>http://www.health.state.mn.us/divs/hpcd/chp/cdrr/alcohol/alcpdf/AlcoholFactsheet.pdf</w:t>
        </w:r>
      </w:hyperlink>
    </w:p>
    <w:p w:rsidR="00792D7C" w:rsidRPr="00620EF5" w:rsidRDefault="00792D7C" w:rsidP="00803FC4">
      <w:pPr>
        <w:pStyle w:val="EndnoteText"/>
        <w:rPr>
          <w:rFonts w:asciiTheme="minorHAnsi" w:hAnsiTheme="minorHAnsi"/>
        </w:rPr>
      </w:pPr>
    </w:p>
  </w:endnote>
  <w:endnote w:id="20">
    <w:p w:rsidR="00792D7C" w:rsidRPr="00620EF5" w:rsidRDefault="00792D7C" w:rsidP="00803FC4">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Centers for Disease Control and Prevention. (2012). </w:t>
      </w:r>
      <w:r w:rsidRPr="00620EF5">
        <w:rPr>
          <w:rFonts w:asciiTheme="minorHAnsi" w:hAnsiTheme="minorHAnsi"/>
          <w:i/>
        </w:rPr>
        <w:t xml:space="preserve">Alcohol and Public Health. </w:t>
      </w:r>
      <w:r w:rsidRPr="00620EF5">
        <w:rPr>
          <w:rFonts w:asciiTheme="minorHAnsi" w:hAnsiTheme="minorHAnsi"/>
        </w:rPr>
        <w:t xml:space="preserve">Retrieved from </w:t>
      </w:r>
      <w:hyperlink r:id="rId19" w:history="1">
        <w:r w:rsidRPr="00620EF5">
          <w:rPr>
            <w:rStyle w:val="Hyperlink"/>
            <w:rFonts w:asciiTheme="minorHAnsi" w:hAnsiTheme="minorHAnsi"/>
          </w:rPr>
          <w:t>http://www.cdc.gove/alcohol/fact-sheets/binge-drinking.htm</w:t>
        </w:r>
      </w:hyperlink>
    </w:p>
    <w:p w:rsidR="00792D7C" w:rsidRPr="00620EF5" w:rsidRDefault="00792D7C" w:rsidP="00803FC4">
      <w:pPr>
        <w:pStyle w:val="EndnoteText"/>
        <w:rPr>
          <w:rFonts w:asciiTheme="minorHAnsi" w:hAnsiTheme="minorHAnsi"/>
        </w:rPr>
      </w:pPr>
    </w:p>
  </w:endnote>
  <w:endnote w:id="21">
    <w:p w:rsidR="00792D7C" w:rsidRPr="00620EF5" w:rsidRDefault="00792D7C" w:rsidP="00803FC4">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Department of Health. (2012). </w:t>
      </w:r>
      <w:r w:rsidRPr="00620EF5">
        <w:rPr>
          <w:rFonts w:asciiTheme="minorHAnsi" w:hAnsiTheme="minorHAnsi"/>
          <w:i/>
        </w:rPr>
        <w:t xml:space="preserve">Quit Smoking. </w:t>
      </w:r>
      <w:r w:rsidRPr="00620EF5">
        <w:rPr>
          <w:rFonts w:asciiTheme="minorHAnsi" w:hAnsiTheme="minorHAnsi"/>
        </w:rPr>
        <w:t xml:space="preserve">Retrieved from </w:t>
      </w:r>
      <w:hyperlink r:id="rId20" w:history="1">
        <w:r w:rsidRPr="00620EF5">
          <w:rPr>
            <w:rStyle w:val="Hyperlink"/>
            <w:rFonts w:asciiTheme="minorHAnsi" w:hAnsiTheme="minorHAnsi"/>
          </w:rPr>
          <w:t>http://www.health.state.mn.us/divs/hpcd/tpc/quit.html</w:t>
        </w:r>
      </w:hyperlink>
    </w:p>
    <w:p w:rsidR="00792D7C" w:rsidRPr="00620EF5" w:rsidRDefault="00792D7C" w:rsidP="00803FC4">
      <w:pPr>
        <w:pStyle w:val="EndnoteText"/>
        <w:rPr>
          <w:rFonts w:asciiTheme="minorHAnsi" w:hAnsiTheme="minorHAnsi"/>
        </w:rPr>
      </w:pPr>
    </w:p>
  </w:endnote>
  <w:endnote w:id="22">
    <w:p w:rsidR="00634EDD" w:rsidRPr="00620EF5" w:rsidRDefault="00634ED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Willett, W., Koplan, J., Nugent, R., Dusenbury, C., Puska, P., &amp; Gaziano, T. (2006). </w:t>
      </w:r>
      <w:r w:rsidRPr="00620EF5">
        <w:rPr>
          <w:rFonts w:asciiTheme="minorHAnsi" w:hAnsiTheme="minorHAnsi"/>
          <w:i/>
        </w:rPr>
        <w:t>Prevention of chronic disease by means of diet and lifestyle changes</w:t>
      </w:r>
      <w:r w:rsidRPr="00620EF5">
        <w:rPr>
          <w:rFonts w:asciiTheme="minorHAnsi" w:hAnsiTheme="minorHAnsi"/>
        </w:rPr>
        <w:t xml:space="preserve">.  Retrieved from </w:t>
      </w:r>
      <w:hyperlink r:id="rId21" w:history="1">
        <w:r w:rsidRPr="00620EF5">
          <w:rPr>
            <w:rStyle w:val="Hyperlink"/>
            <w:rFonts w:asciiTheme="minorHAnsi" w:hAnsiTheme="minorHAnsi"/>
          </w:rPr>
          <w:t>https://www.ncbi.nlm.nih.gov/books/NBK11795/</w:t>
        </w:r>
      </w:hyperlink>
    </w:p>
    <w:p w:rsidR="00634EDD" w:rsidRPr="00620EF5" w:rsidRDefault="00634EDD">
      <w:pPr>
        <w:pStyle w:val="EndnoteText"/>
        <w:rPr>
          <w:rFonts w:asciiTheme="minorHAnsi" w:hAnsiTheme="minorHAnsi"/>
        </w:rPr>
      </w:pPr>
    </w:p>
  </w:endnote>
  <w:endnote w:id="23">
    <w:p w:rsidR="00792D7C" w:rsidRPr="00620EF5" w:rsidRDefault="00792D7C" w:rsidP="005A46B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American Cancer Society, Midwest Division. (2013). </w:t>
      </w:r>
      <w:r w:rsidRPr="00620EF5">
        <w:rPr>
          <w:rFonts w:asciiTheme="minorHAnsi" w:hAnsiTheme="minorHAnsi"/>
          <w:i/>
        </w:rPr>
        <w:t xml:space="preserve">Minnesota cancer facts and figures: 2013. </w:t>
      </w:r>
      <w:r w:rsidRPr="00620EF5">
        <w:rPr>
          <w:rFonts w:asciiTheme="minorHAnsi" w:hAnsiTheme="minorHAnsi"/>
        </w:rPr>
        <w:t xml:space="preserve">Retrieved from </w:t>
      </w:r>
      <w:hyperlink r:id="rId22" w:history="1">
        <w:r w:rsidRPr="00620EF5">
          <w:rPr>
            <w:rStyle w:val="Hyperlink"/>
            <w:rFonts w:asciiTheme="minorHAnsi" w:hAnsiTheme="minorHAnsi"/>
          </w:rPr>
          <w:t>http://www.cancer.org/acs/groups/content/@epidemiologysurveilance/documents/document/acspc-036845.pdf</w:t>
        </w:r>
      </w:hyperlink>
    </w:p>
    <w:p w:rsidR="00792D7C" w:rsidRPr="00620EF5" w:rsidRDefault="00792D7C" w:rsidP="005A46BD">
      <w:pPr>
        <w:pStyle w:val="EndnoteText"/>
        <w:rPr>
          <w:rFonts w:asciiTheme="minorHAnsi" w:hAnsiTheme="minorHAnsi"/>
        </w:rPr>
      </w:pPr>
    </w:p>
  </w:endnote>
  <w:endnote w:id="24">
    <w:p w:rsidR="00792D7C" w:rsidRPr="00620EF5" w:rsidRDefault="00792D7C" w:rsidP="005A46B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Department of Health. (2012). </w:t>
      </w:r>
      <w:r w:rsidRPr="00620EF5">
        <w:rPr>
          <w:rFonts w:asciiTheme="minorHAnsi" w:hAnsiTheme="minorHAnsi"/>
          <w:i/>
        </w:rPr>
        <w:t xml:space="preserve">The Health of Minnesota, Statewide Health Assessment: Part Two. </w:t>
      </w:r>
      <w:r w:rsidRPr="00620EF5">
        <w:rPr>
          <w:rFonts w:asciiTheme="minorHAnsi" w:hAnsiTheme="minorHAnsi"/>
        </w:rPr>
        <w:t xml:space="preserve">Retrieved from </w:t>
      </w:r>
      <w:hyperlink r:id="rId23" w:history="1">
        <w:r w:rsidRPr="00620EF5">
          <w:rPr>
            <w:rStyle w:val="Hyperlink"/>
            <w:rFonts w:asciiTheme="minorHAnsi" w:hAnsiTheme="minorHAnsi"/>
          </w:rPr>
          <w:t>http://www.health.state.mn.us/healthymnpartnership/sha/docs/1205healthofminnesotasupp.pdf</w:t>
        </w:r>
      </w:hyperlink>
    </w:p>
    <w:p w:rsidR="00792D7C" w:rsidRPr="00620EF5" w:rsidRDefault="00792D7C" w:rsidP="005A46BD">
      <w:pPr>
        <w:pStyle w:val="EndnoteText"/>
        <w:rPr>
          <w:rFonts w:asciiTheme="minorHAnsi" w:hAnsiTheme="minorHAnsi"/>
        </w:rPr>
      </w:pPr>
    </w:p>
  </w:endnote>
  <w:endnote w:id="25">
    <w:p w:rsidR="00792D7C" w:rsidRPr="00620EF5" w:rsidRDefault="00792D7C" w:rsidP="005A46B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National Breast Cancer Foundation, Inc. (2012). </w:t>
      </w:r>
      <w:r w:rsidRPr="00620EF5">
        <w:rPr>
          <w:rFonts w:asciiTheme="minorHAnsi" w:hAnsiTheme="minorHAnsi"/>
          <w:i/>
        </w:rPr>
        <w:t xml:space="preserve">Breast Cancer Facts. </w:t>
      </w:r>
      <w:r w:rsidRPr="00620EF5">
        <w:rPr>
          <w:rFonts w:asciiTheme="minorHAnsi" w:hAnsiTheme="minorHAnsi"/>
        </w:rPr>
        <w:t>Retrieved from</w:t>
      </w:r>
      <w:r w:rsidRPr="00620EF5">
        <w:rPr>
          <w:rFonts w:asciiTheme="minorHAnsi" w:hAnsiTheme="minorHAnsi"/>
        </w:rPr>
        <w:br/>
        <w:t xml:space="preserve"> </w:t>
      </w:r>
      <w:hyperlink r:id="rId24" w:history="1">
        <w:r w:rsidRPr="00620EF5">
          <w:rPr>
            <w:rStyle w:val="Hyperlink"/>
            <w:rFonts w:asciiTheme="minorHAnsi" w:hAnsiTheme="minorHAnsi"/>
          </w:rPr>
          <w:t>http://www.nationalbreastcancer.org/breast-cancer-facts</w:t>
        </w:r>
      </w:hyperlink>
      <w:r w:rsidRPr="00620EF5">
        <w:rPr>
          <w:rFonts w:asciiTheme="minorHAnsi" w:hAnsiTheme="minorHAnsi"/>
        </w:rPr>
        <w:t>.</w:t>
      </w:r>
    </w:p>
    <w:p w:rsidR="00792D7C" w:rsidRPr="00620EF5" w:rsidRDefault="00792D7C" w:rsidP="005A46BD">
      <w:pPr>
        <w:pStyle w:val="EndnoteText"/>
        <w:rPr>
          <w:rFonts w:asciiTheme="minorHAnsi" w:hAnsiTheme="minorHAnsi"/>
        </w:rPr>
      </w:pPr>
    </w:p>
  </w:endnote>
  <w:endnote w:id="26">
    <w:p w:rsidR="00792D7C" w:rsidRPr="00620EF5" w:rsidRDefault="00792D7C" w:rsidP="005A46B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Centers for Disease Control and Prevention. (2010). </w:t>
      </w:r>
      <w:r w:rsidRPr="00620EF5">
        <w:rPr>
          <w:rFonts w:asciiTheme="minorHAnsi" w:hAnsiTheme="minorHAnsi"/>
          <w:i/>
        </w:rPr>
        <w:t xml:space="preserve">Prostate Cancer. </w:t>
      </w:r>
      <w:r w:rsidRPr="00620EF5">
        <w:rPr>
          <w:rFonts w:asciiTheme="minorHAnsi" w:hAnsiTheme="minorHAnsi"/>
        </w:rPr>
        <w:t>Retrieved from</w:t>
      </w:r>
      <w:r w:rsidRPr="00620EF5">
        <w:rPr>
          <w:rFonts w:asciiTheme="minorHAnsi" w:hAnsiTheme="minorHAnsi"/>
        </w:rPr>
        <w:br/>
      </w:r>
      <w:hyperlink r:id="rId25" w:history="1">
        <w:r w:rsidRPr="00620EF5">
          <w:rPr>
            <w:rStyle w:val="Hyperlink"/>
            <w:rFonts w:asciiTheme="minorHAnsi" w:hAnsiTheme="minorHAnsi"/>
          </w:rPr>
          <w:t>http://www.cdc.gov/cancer/prostate/basic_info/fast_facts.htm</w:t>
        </w:r>
      </w:hyperlink>
    </w:p>
    <w:p w:rsidR="00792D7C" w:rsidRPr="00620EF5" w:rsidRDefault="00792D7C" w:rsidP="005A46BD">
      <w:pPr>
        <w:pStyle w:val="EndnoteText"/>
        <w:rPr>
          <w:rFonts w:asciiTheme="minorHAnsi" w:hAnsiTheme="minorHAnsi"/>
        </w:rPr>
      </w:pPr>
    </w:p>
  </w:endnote>
  <w:endnote w:id="27">
    <w:p w:rsidR="00792D7C" w:rsidRPr="00620EF5" w:rsidRDefault="00792D7C" w:rsidP="005A46BD">
      <w:pPr>
        <w:pStyle w:val="EndnoteText"/>
        <w:rPr>
          <w:rFonts w:asciiTheme="minorHAnsi" w:hAnsiTheme="minorHAnsi"/>
        </w:rPr>
      </w:pPr>
      <w:r w:rsidRPr="00620EF5">
        <w:rPr>
          <w:rStyle w:val="EndnoteReference"/>
          <w:rFonts w:asciiTheme="minorHAnsi" w:hAnsiTheme="minorHAnsi"/>
        </w:rPr>
        <w:endnoteRef/>
      </w:r>
      <w:r w:rsidRPr="00620EF5">
        <w:rPr>
          <w:rFonts w:asciiTheme="minorHAnsi" w:hAnsiTheme="minorHAnsi"/>
        </w:rPr>
        <w:t xml:space="preserve"> Minnesota Department of Health, Heart Disease and Stroke Prevention Unit.  </w:t>
      </w:r>
      <w:r w:rsidRPr="00620EF5">
        <w:rPr>
          <w:rFonts w:asciiTheme="minorHAnsi" w:hAnsiTheme="minorHAnsi"/>
          <w:i/>
        </w:rPr>
        <w:t xml:space="preserve">Overweight and obesity prevention: The importance of a healthy weight. </w:t>
      </w:r>
      <w:r w:rsidRPr="00620EF5">
        <w:rPr>
          <w:rFonts w:asciiTheme="minorHAnsi" w:hAnsiTheme="minorHAnsi"/>
        </w:rPr>
        <w:t xml:space="preserve">Retrieved from </w:t>
      </w:r>
      <w:hyperlink r:id="rId26" w:history="1">
        <w:r w:rsidRPr="00620EF5">
          <w:rPr>
            <w:rStyle w:val="Hyperlink"/>
            <w:rFonts w:asciiTheme="minorHAnsi" w:hAnsiTheme="minorHAnsi"/>
          </w:rPr>
          <w:t>http://www.health.state.mn.us/divs/pcd/chp/cdrr/obesity/heathyweights.html</w:t>
        </w:r>
      </w:hyperlink>
    </w:p>
    <w:p w:rsidR="00792D7C" w:rsidRPr="00620EF5" w:rsidRDefault="00792D7C" w:rsidP="005A46BD">
      <w:pPr>
        <w:pStyle w:val="EndnoteText"/>
        <w:rPr>
          <w:rFonts w:asciiTheme="minorHAnsi" w:hAnsi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911970"/>
      <w:docPartObj>
        <w:docPartGallery w:val="Page Numbers (Bottom of Page)"/>
        <w:docPartUnique/>
      </w:docPartObj>
    </w:sdtPr>
    <w:sdtEndPr>
      <w:rPr>
        <w:noProof/>
      </w:rPr>
    </w:sdtEndPr>
    <w:sdtContent>
      <w:p w:rsidR="00792D7C" w:rsidRDefault="00792D7C">
        <w:pPr>
          <w:pStyle w:val="Footer"/>
          <w:jc w:val="right"/>
        </w:pPr>
        <w:r>
          <w:fldChar w:fldCharType="begin"/>
        </w:r>
        <w:r>
          <w:instrText xml:space="preserve"> PAGE   \* MERGEFORMAT </w:instrText>
        </w:r>
        <w:r>
          <w:fldChar w:fldCharType="separate"/>
        </w:r>
        <w:r w:rsidR="00822C7F">
          <w:rPr>
            <w:noProof/>
          </w:rPr>
          <w:t>43</w:t>
        </w:r>
        <w:r>
          <w:rPr>
            <w:noProof/>
          </w:rPr>
          <w:fldChar w:fldCharType="end"/>
        </w:r>
      </w:p>
    </w:sdtContent>
  </w:sdt>
  <w:p w:rsidR="00792D7C" w:rsidRDefault="00792D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72021"/>
      <w:docPartObj>
        <w:docPartGallery w:val="Page Numbers (Bottom of Page)"/>
        <w:docPartUnique/>
      </w:docPartObj>
    </w:sdtPr>
    <w:sdtEndPr>
      <w:rPr>
        <w:noProof/>
      </w:rPr>
    </w:sdtEndPr>
    <w:sdtContent>
      <w:p w:rsidR="00792D7C" w:rsidRDefault="00792D7C">
        <w:pPr>
          <w:pStyle w:val="Footer"/>
          <w:jc w:val="right"/>
        </w:pPr>
        <w:r>
          <w:fldChar w:fldCharType="begin"/>
        </w:r>
        <w:r>
          <w:instrText xml:space="preserve"> PAGE   \* MERGEFORMAT </w:instrText>
        </w:r>
        <w:r>
          <w:fldChar w:fldCharType="separate"/>
        </w:r>
        <w:r w:rsidR="00822C7F">
          <w:rPr>
            <w:noProof/>
          </w:rPr>
          <w:t>57</w:t>
        </w:r>
        <w:r>
          <w:rPr>
            <w:noProof/>
          </w:rPr>
          <w:fldChar w:fldCharType="end"/>
        </w:r>
      </w:p>
    </w:sdtContent>
  </w:sdt>
  <w:p w:rsidR="00792D7C" w:rsidRDefault="00792D7C" w:rsidP="00E33B1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D7C" w:rsidRDefault="00792D7C" w:rsidP="00803FC4">
      <w:pPr>
        <w:spacing w:after="0" w:line="240" w:lineRule="auto"/>
      </w:pPr>
      <w:r>
        <w:separator/>
      </w:r>
    </w:p>
  </w:footnote>
  <w:footnote w:type="continuationSeparator" w:id="0">
    <w:p w:rsidR="00792D7C" w:rsidRDefault="00792D7C" w:rsidP="00803FC4">
      <w:pPr>
        <w:spacing w:after="0" w:line="240" w:lineRule="auto"/>
      </w:pPr>
      <w:r>
        <w:continuationSeparator/>
      </w:r>
    </w:p>
  </w:footnote>
  <w:footnote w:id="1">
    <w:p w:rsidR="00792D7C" w:rsidRDefault="00792D7C" w:rsidP="00803FC4">
      <w:pPr>
        <w:pStyle w:val="FootnoteText"/>
        <w:rPr>
          <w: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7C" w:rsidRDefault="00792D7C" w:rsidP="00DE094C">
    <w:pPr>
      <w:pStyle w:val="Header"/>
      <w:jc w:val="right"/>
    </w:pPr>
  </w:p>
  <w:p w:rsidR="00792D7C" w:rsidRDefault="00792D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D7C" w:rsidRDefault="00792D7C">
    <w:pPr>
      <w:pStyle w:val="Header"/>
      <w:jc w:val="right"/>
    </w:pPr>
  </w:p>
  <w:p w:rsidR="00792D7C" w:rsidRDefault="00792D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B11F5"/>
    <w:multiLevelType w:val="hybridMultilevel"/>
    <w:tmpl w:val="C11CD768"/>
    <w:lvl w:ilvl="0" w:tplc="9372ED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F635E0"/>
    <w:multiLevelType w:val="hybridMultilevel"/>
    <w:tmpl w:val="47A86FEA"/>
    <w:lvl w:ilvl="0" w:tplc="6F268FE6">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FEC003E"/>
    <w:multiLevelType w:val="hybridMultilevel"/>
    <w:tmpl w:val="B4F00456"/>
    <w:lvl w:ilvl="0" w:tplc="296A47F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564A5B"/>
    <w:multiLevelType w:val="hybridMultilevel"/>
    <w:tmpl w:val="E2C063BE"/>
    <w:lvl w:ilvl="0" w:tplc="6F1861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744B3A"/>
    <w:multiLevelType w:val="hybridMultilevel"/>
    <w:tmpl w:val="AD96E8C0"/>
    <w:lvl w:ilvl="0" w:tplc="B44A05D2">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CF3FBB"/>
    <w:multiLevelType w:val="hybridMultilevel"/>
    <w:tmpl w:val="9216F6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682A7030"/>
    <w:multiLevelType w:val="hybridMultilevel"/>
    <w:tmpl w:val="0F7C8720"/>
    <w:lvl w:ilvl="0" w:tplc="78AAA90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E213FD6"/>
    <w:multiLevelType w:val="hybridMultilevel"/>
    <w:tmpl w:val="34D05F96"/>
    <w:lvl w:ilvl="0" w:tplc="C65650D4">
      <w:start w:val="1"/>
      <w:numFmt w:val="upperRoman"/>
      <w:lvlText w:val="%1."/>
      <w:lvlJc w:val="left"/>
      <w:pPr>
        <w:ind w:left="1440" w:hanging="10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2"/>
  </w:num>
  <w:num w:numId="8">
    <w:abstractNumId w:val="0"/>
  </w:num>
  <w:num w:numId="9">
    <w:abstractNumId w:val="3"/>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numFmt w:val="upperLette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FC4"/>
    <w:rsid w:val="00022FBD"/>
    <w:rsid w:val="00060F1F"/>
    <w:rsid w:val="00067187"/>
    <w:rsid w:val="00074FB6"/>
    <w:rsid w:val="00077E8C"/>
    <w:rsid w:val="000941FF"/>
    <w:rsid w:val="000A29BC"/>
    <w:rsid w:val="000B1DEC"/>
    <w:rsid w:val="000D1A6F"/>
    <w:rsid w:val="000D468C"/>
    <w:rsid w:val="000D70C6"/>
    <w:rsid w:val="000F651D"/>
    <w:rsid w:val="00107B93"/>
    <w:rsid w:val="00112F17"/>
    <w:rsid w:val="00116B5E"/>
    <w:rsid w:val="00135CD5"/>
    <w:rsid w:val="0014506A"/>
    <w:rsid w:val="001606B6"/>
    <w:rsid w:val="00164890"/>
    <w:rsid w:val="0016639F"/>
    <w:rsid w:val="001755A5"/>
    <w:rsid w:val="00187080"/>
    <w:rsid w:val="001A0868"/>
    <w:rsid w:val="001C65B7"/>
    <w:rsid w:val="001D3257"/>
    <w:rsid w:val="001E66FE"/>
    <w:rsid w:val="001F64B4"/>
    <w:rsid w:val="00203314"/>
    <w:rsid w:val="002066EC"/>
    <w:rsid w:val="00211212"/>
    <w:rsid w:val="00223B55"/>
    <w:rsid w:val="002345F3"/>
    <w:rsid w:val="00237628"/>
    <w:rsid w:val="002445CA"/>
    <w:rsid w:val="0025110B"/>
    <w:rsid w:val="00254B18"/>
    <w:rsid w:val="00262DFD"/>
    <w:rsid w:val="00271719"/>
    <w:rsid w:val="002756E3"/>
    <w:rsid w:val="00285564"/>
    <w:rsid w:val="002901FC"/>
    <w:rsid w:val="002C4B6F"/>
    <w:rsid w:val="002D3B2F"/>
    <w:rsid w:val="002D7D92"/>
    <w:rsid w:val="002E131B"/>
    <w:rsid w:val="002E5803"/>
    <w:rsid w:val="002F1C89"/>
    <w:rsid w:val="002F335A"/>
    <w:rsid w:val="002F67F6"/>
    <w:rsid w:val="00301611"/>
    <w:rsid w:val="00303E10"/>
    <w:rsid w:val="00305060"/>
    <w:rsid w:val="00335D11"/>
    <w:rsid w:val="00341B4E"/>
    <w:rsid w:val="003502A4"/>
    <w:rsid w:val="00351116"/>
    <w:rsid w:val="00355FA3"/>
    <w:rsid w:val="003733FB"/>
    <w:rsid w:val="003815BF"/>
    <w:rsid w:val="003825CE"/>
    <w:rsid w:val="00385136"/>
    <w:rsid w:val="003918DC"/>
    <w:rsid w:val="0039597A"/>
    <w:rsid w:val="003A4C58"/>
    <w:rsid w:val="003B0BD3"/>
    <w:rsid w:val="003B3F87"/>
    <w:rsid w:val="003C41E5"/>
    <w:rsid w:val="003C69C9"/>
    <w:rsid w:val="003C7218"/>
    <w:rsid w:val="003C7A4B"/>
    <w:rsid w:val="003D0DE6"/>
    <w:rsid w:val="003E2DCD"/>
    <w:rsid w:val="003E42DC"/>
    <w:rsid w:val="00400862"/>
    <w:rsid w:val="00400FC4"/>
    <w:rsid w:val="004013C2"/>
    <w:rsid w:val="00401B2B"/>
    <w:rsid w:val="004350C1"/>
    <w:rsid w:val="004571D5"/>
    <w:rsid w:val="00463ECC"/>
    <w:rsid w:val="00470A37"/>
    <w:rsid w:val="00483D6D"/>
    <w:rsid w:val="00490852"/>
    <w:rsid w:val="004919D0"/>
    <w:rsid w:val="004A4278"/>
    <w:rsid w:val="004B4D09"/>
    <w:rsid w:val="004D5491"/>
    <w:rsid w:val="004E3072"/>
    <w:rsid w:val="004F576E"/>
    <w:rsid w:val="004F6A9E"/>
    <w:rsid w:val="00502274"/>
    <w:rsid w:val="00524484"/>
    <w:rsid w:val="00530F7A"/>
    <w:rsid w:val="0054493E"/>
    <w:rsid w:val="0055112A"/>
    <w:rsid w:val="00551FD3"/>
    <w:rsid w:val="0056789E"/>
    <w:rsid w:val="00567B4B"/>
    <w:rsid w:val="005755A8"/>
    <w:rsid w:val="00596EB9"/>
    <w:rsid w:val="005A46BD"/>
    <w:rsid w:val="005B0F93"/>
    <w:rsid w:val="005B3F3A"/>
    <w:rsid w:val="005B6FFE"/>
    <w:rsid w:val="005D64FE"/>
    <w:rsid w:val="005F35B5"/>
    <w:rsid w:val="00616B4B"/>
    <w:rsid w:val="00620EF5"/>
    <w:rsid w:val="00634EDD"/>
    <w:rsid w:val="00640226"/>
    <w:rsid w:val="006500AF"/>
    <w:rsid w:val="00651469"/>
    <w:rsid w:val="006527EA"/>
    <w:rsid w:val="006665E1"/>
    <w:rsid w:val="006708F9"/>
    <w:rsid w:val="006776C0"/>
    <w:rsid w:val="006825CE"/>
    <w:rsid w:val="00683212"/>
    <w:rsid w:val="006964AC"/>
    <w:rsid w:val="006A2638"/>
    <w:rsid w:val="006C13D9"/>
    <w:rsid w:val="006C245C"/>
    <w:rsid w:val="006E6016"/>
    <w:rsid w:val="006F26F7"/>
    <w:rsid w:val="007030E7"/>
    <w:rsid w:val="00704990"/>
    <w:rsid w:val="00720A3E"/>
    <w:rsid w:val="007275AA"/>
    <w:rsid w:val="007458DE"/>
    <w:rsid w:val="007577BE"/>
    <w:rsid w:val="00762F65"/>
    <w:rsid w:val="00765736"/>
    <w:rsid w:val="00765780"/>
    <w:rsid w:val="00792D7C"/>
    <w:rsid w:val="007A1DE1"/>
    <w:rsid w:val="007A35FE"/>
    <w:rsid w:val="007A3A01"/>
    <w:rsid w:val="007B0B79"/>
    <w:rsid w:val="007C12CA"/>
    <w:rsid w:val="007D5216"/>
    <w:rsid w:val="007F098F"/>
    <w:rsid w:val="007F63BF"/>
    <w:rsid w:val="00802D42"/>
    <w:rsid w:val="00803FC4"/>
    <w:rsid w:val="00810E41"/>
    <w:rsid w:val="00822C7F"/>
    <w:rsid w:val="008369CA"/>
    <w:rsid w:val="00837BED"/>
    <w:rsid w:val="0085428A"/>
    <w:rsid w:val="00854B0C"/>
    <w:rsid w:val="00855C38"/>
    <w:rsid w:val="0086227D"/>
    <w:rsid w:val="00872F7E"/>
    <w:rsid w:val="00875EF0"/>
    <w:rsid w:val="00877F61"/>
    <w:rsid w:val="00880090"/>
    <w:rsid w:val="00884658"/>
    <w:rsid w:val="00885301"/>
    <w:rsid w:val="00893A1D"/>
    <w:rsid w:val="00894976"/>
    <w:rsid w:val="008B681F"/>
    <w:rsid w:val="008D6FC7"/>
    <w:rsid w:val="008E72EF"/>
    <w:rsid w:val="008F4B01"/>
    <w:rsid w:val="009237F5"/>
    <w:rsid w:val="00926E03"/>
    <w:rsid w:val="0097263D"/>
    <w:rsid w:val="009745BA"/>
    <w:rsid w:val="009758F1"/>
    <w:rsid w:val="0099191C"/>
    <w:rsid w:val="009928B6"/>
    <w:rsid w:val="009B2860"/>
    <w:rsid w:val="009D2A0E"/>
    <w:rsid w:val="009D489C"/>
    <w:rsid w:val="009D48AB"/>
    <w:rsid w:val="009E19D9"/>
    <w:rsid w:val="009E2DD2"/>
    <w:rsid w:val="00A02519"/>
    <w:rsid w:val="00A1346A"/>
    <w:rsid w:val="00A35A1C"/>
    <w:rsid w:val="00A531C3"/>
    <w:rsid w:val="00A624BE"/>
    <w:rsid w:val="00A62E80"/>
    <w:rsid w:val="00A76D96"/>
    <w:rsid w:val="00A8419E"/>
    <w:rsid w:val="00A963E7"/>
    <w:rsid w:val="00AA0B4D"/>
    <w:rsid w:val="00AC201A"/>
    <w:rsid w:val="00AD38D3"/>
    <w:rsid w:val="00B0034A"/>
    <w:rsid w:val="00B458DD"/>
    <w:rsid w:val="00B50386"/>
    <w:rsid w:val="00B64A52"/>
    <w:rsid w:val="00B65794"/>
    <w:rsid w:val="00B70CAC"/>
    <w:rsid w:val="00B72692"/>
    <w:rsid w:val="00B74478"/>
    <w:rsid w:val="00B77D0D"/>
    <w:rsid w:val="00B8402D"/>
    <w:rsid w:val="00BB1DDF"/>
    <w:rsid w:val="00BC7B7E"/>
    <w:rsid w:val="00BD614F"/>
    <w:rsid w:val="00C01CD4"/>
    <w:rsid w:val="00C227B1"/>
    <w:rsid w:val="00C544C2"/>
    <w:rsid w:val="00C7102B"/>
    <w:rsid w:val="00C728FC"/>
    <w:rsid w:val="00C72FDA"/>
    <w:rsid w:val="00C75DA8"/>
    <w:rsid w:val="00C808EA"/>
    <w:rsid w:val="00C866DE"/>
    <w:rsid w:val="00C9688F"/>
    <w:rsid w:val="00CA032B"/>
    <w:rsid w:val="00CC50A2"/>
    <w:rsid w:val="00CD1A67"/>
    <w:rsid w:val="00CE57C7"/>
    <w:rsid w:val="00D03C81"/>
    <w:rsid w:val="00D0791C"/>
    <w:rsid w:val="00D15AEF"/>
    <w:rsid w:val="00D24A04"/>
    <w:rsid w:val="00D36AFF"/>
    <w:rsid w:val="00D42E95"/>
    <w:rsid w:val="00D576C4"/>
    <w:rsid w:val="00D6431B"/>
    <w:rsid w:val="00D8166E"/>
    <w:rsid w:val="00D91F6E"/>
    <w:rsid w:val="00DA33FD"/>
    <w:rsid w:val="00DA3CB8"/>
    <w:rsid w:val="00DB4110"/>
    <w:rsid w:val="00DD2584"/>
    <w:rsid w:val="00DD69C5"/>
    <w:rsid w:val="00DE094C"/>
    <w:rsid w:val="00DE2B48"/>
    <w:rsid w:val="00E0025C"/>
    <w:rsid w:val="00E03DA7"/>
    <w:rsid w:val="00E33B1E"/>
    <w:rsid w:val="00E35A52"/>
    <w:rsid w:val="00E37402"/>
    <w:rsid w:val="00E46C6B"/>
    <w:rsid w:val="00E728F5"/>
    <w:rsid w:val="00E75333"/>
    <w:rsid w:val="00E96147"/>
    <w:rsid w:val="00EA15B8"/>
    <w:rsid w:val="00EA4DAA"/>
    <w:rsid w:val="00EB2650"/>
    <w:rsid w:val="00ED4E84"/>
    <w:rsid w:val="00F00FD8"/>
    <w:rsid w:val="00F0388B"/>
    <w:rsid w:val="00F16EB2"/>
    <w:rsid w:val="00F21150"/>
    <w:rsid w:val="00F2247D"/>
    <w:rsid w:val="00F30E0B"/>
    <w:rsid w:val="00F31FEA"/>
    <w:rsid w:val="00F60D6F"/>
    <w:rsid w:val="00F719F7"/>
    <w:rsid w:val="00F7658D"/>
    <w:rsid w:val="00F816A6"/>
    <w:rsid w:val="00F866B7"/>
    <w:rsid w:val="00F9497B"/>
    <w:rsid w:val="00FA14EB"/>
    <w:rsid w:val="00FB1EF7"/>
    <w:rsid w:val="00FB56C9"/>
    <w:rsid w:val="00FB60CF"/>
    <w:rsid w:val="00FC2371"/>
    <w:rsid w:val="00FC5A68"/>
    <w:rsid w:val="00FC7A14"/>
    <w:rsid w:val="00FD0EC8"/>
    <w:rsid w:val="00FD6A80"/>
    <w:rsid w:val="00FE29DC"/>
    <w:rsid w:val="00FE5918"/>
    <w:rsid w:val="00FF4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0A7124-E287-4434-81D7-DD29A73A0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46BD"/>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03FC4"/>
    <w:pPr>
      <w:keepNext/>
      <w:keepLines/>
      <w:spacing w:before="200" w:after="0" w:line="276" w:lineRule="auto"/>
      <w:outlineLvl w:val="1"/>
    </w:pPr>
    <w:rPr>
      <w:rFonts w:ascii="Cambria" w:eastAsia="Times New Roman" w:hAnsi="Cambria" w:cs="Times New Roman"/>
      <w:b/>
      <w:bCs/>
      <w:sz w:val="32"/>
      <w:szCs w:val="26"/>
    </w:rPr>
  </w:style>
  <w:style w:type="paragraph" w:styleId="Heading3">
    <w:name w:val="heading 3"/>
    <w:basedOn w:val="Normal"/>
    <w:next w:val="Normal"/>
    <w:link w:val="Heading3Char"/>
    <w:uiPriority w:val="9"/>
    <w:semiHidden/>
    <w:unhideWhenUsed/>
    <w:qFormat/>
    <w:rsid w:val="00803FC4"/>
    <w:pPr>
      <w:keepNext/>
      <w:keepLines/>
      <w:spacing w:before="200" w:after="0" w:line="276" w:lineRule="auto"/>
      <w:outlineLvl w:val="2"/>
    </w:pPr>
    <w:rPr>
      <w:rFonts w:ascii="Cambria" w:eastAsia="Times New Roman" w:hAnsi="Cambria" w:cs="Times New Roman"/>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3FC4"/>
    <w:rPr>
      <w:rFonts w:ascii="Cambria" w:eastAsia="Times New Roman" w:hAnsi="Cambria" w:cs="Times New Roman"/>
      <w:b/>
      <w:bCs/>
      <w:sz w:val="32"/>
      <w:szCs w:val="26"/>
    </w:rPr>
  </w:style>
  <w:style w:type="character" w:customStyle="1" w:styleId="Heading3Char">
    <w:name w:val="Heading 3 Char"/>
    <w:basedOn w:val="DefaultParagraphFont"/>
    <w:link w:val="Heading3"/>
    <w:uiPriority w:val="9"/>
    <w:semiHidden/>
    <w:rsid w:val="00803FC4"/>
    <w:rPr>
      <w:rFonts w:ascii="Cambria" w:eastAsia="Times New Roman" w:hAnsi="Cambria" w:cs="Times New Roman"/>
      <w:b/>
      <w:bCs/>
      <w:color w:val="5B9BD5" w:themeColor="accent1"/>
    </w:rPr>
  </w:style>
  <w:style w:type="numbering" w:customStyle="1" w:styleId="NoList1">
    <w:name w:val="No List1"/>
    <w:next w:val="NoList"/>
    <w:uiPriority w:val="99"/>
    <w:semiHidden/>
    <w:unhideWhenUsed/>
    <w:rsid w:val="00803FC4"/>
  </w:style>
  <w:style w:type="character" w:styleId="Hyperlink">
    <w:name w:val="Hyperlink"/>
    <w:basedOn w:val="DefaultParagraphFont"/>
    <w:uiPriority w:val="99"/>
    <w:unhideWhenUsed/>
    <w:rsid w:val="00803FC4"/>
    <w:rPr>
      <w:color w:val="0563C1" w:themeColor="hyperlink"/>
      <w:u w:val="single"/>
    </w:rPr>
  </w:style>
  <w:style w:type="character" w:styleId="FollowedHyperlink">
    <w:name w:val="FollowedHyperlink"/>
    <w:basedOn w:val="DefaultParagraphFont"/>
    <w:uiPriority w:val="99"/>
    <w:semiHidden/>
    <w:unhideWhenUsed/>
    <w:rsid w:val="00803FC4"/>
    <w:rPr>
      <w:color w:val="954F72" w:themeColor="followedHyperlink"/>
      <w:u w:val="single"/>
    </w:rPr>
  </w:style>
  <w:style w:type="paragraph" w:styleId="NormalWeb">
    <w:name w:val="Normal (Web)"/>
    <w:basedOn w:val="Normal"/>
    <w:uiPriority w:val="99"/>
    <w:semiHidden/>
    <w:unhideWhenUsed/>
    <w:rsid w:val="00803FC4"/>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803FC4"/>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803FC4"/>
    <w:rPr>
      <w:rFonts w:ascii="Calibri" w:eastAsia="Times New Roman" w:hAnsi="Calibri" w:cs="Times New Roman"/>
      <w:sz w:val="20"/>
      <w:szCs w:val="20"/>
    </w:rPr>
  </w:style>
  <w:style w:type="paragraph" w:styleId="Header">
    <w:name w:val="header"/>
    <w:basedOn w:val="Normal"/>
    <w:link w:val="HeaderChar"/>
    <w:uiPriority w:val="99"/>
    <w:unhideWhenUsed/>
    <w:rsid w:val="00803FC4"/>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803FC4"/>
    <w:rPr>
      <w:rFonts w:ascii="Calibri" w:eastAsia="Times New Roman" w:hAnsi="Calibri" w:cs="Times New Roman"/>
    </w:rPr>
  </w:style>
  <w:style w:type="paragraph" w:styleId="Footer">
    <w:name w:val="footer"/>
    <w:basedOn w:val="Normal"/>
    <w:link w:val="FooterChar"/>
    <w:uiPriority w:val="99"/>
    <w:unhideWhenUsed/>
    <w:rsid w:val="00803FC4"/>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803FC4"/>
    <w:rPr>
      <w:rFonts w:ascii="Calibri" w:eastAsia="Times New Roman" w:hAnsi="Calibri" w:cs="Times New Roman"/>
    </w:rPr>
  </w:style>
  <w:style w:type="paragraph" w:styleId="Caption">
    <w:name w:val="caption"/>
    <w:basedOn w:val="Normal"/>
    <w:next w:val="Normal"/>
    <w:uiPriority w:val="35"/>
    <w:semiHidden/>
    <w:unhideWhenUsed/>
    <w:qFormat/>
    <w:rsid w:val="00803FC4"/>
    <w:pPr>
      <w:spacing w:after="200" w:line="240" w:lineRule="auto"/>
    </w:pPr>
    <w:rPr>
      <w:rFonts w:ascii="Calibri" w:eastAsia="Calibri" w:hAnsi="Calibri" w:cs="Times New Roman"/>
      <w:b/>
      <w:bCs/>
      <w:color w:val="5B9BD5" w:themeColor="accent1"/>
      <w:sz w:val="18"/>
      <w:szCs w:val="18"/>
    </w:rPr>
  </w:style>
  <w:style w:type="paragraph" w:styleId="EndnoteText">
    <w:name w:val="endnote text"/>
    <w:basedOn w:val="Normal"/>
    <w:link w:val="EndnoteTextChar"/>
    <w:uiPriority w:val="99"/>
    <w:semiHidden/>
    <w:unhideWhenUsed/>
    <w:rsid w:val="00803FC4"/>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803FC4"/>
    <w:rPr>
      <w:rFonts w:ascii="Calibri" w:eastAsia="Times New Roman" w:hAnsi="Calibri" w:cs="Times New Roman"/>
      <w:sz w:val="20"/>
      <w:szCs w:val="20"/>
    </w:rPr>
  </w:style>
  <w:style w:type="paragraph" w:styleId="Title">
    <w:name w:val="Title"/>
    <w:basedOn w:val="Normal"/>
    <w:next w:val="Normal"/>
    <w:link w:val="TitleChar"/>
    <w:uiPriority w:val="10"/>
    <w:qFormat/>
    <w:rsid w:val="00803FC4"/>
    <w:pPr>
      <w:pBdr>
        <w:bottom w:val="single" w:sz="8" w:space="4" w:color="5B9BD5" w:themeColor="accent1"/>
      </w:pBdr>
      <w:spacing w:after="300" w:line="240" w:lineRule="auto"/>
      <w:contextualSpacing/>
    </w:pPr>
    <w:rPr>
      <w:rFonts w:ascii="Cambria" w:eastAsia="Times New Roman" w:hAnsi="Cambria" w:cs="Times New Roman"/>
      <w:color w:val="323E4F" w:themeColor="text2" w:themeShade="BF"/>
      <w:spacing w:val="5"/>
      <w:kern w:val="28"/>
      <w:sz w:val="52"/>
      <w:szCs w:val="52"/>
    </w:rPr>
  </w:style>
  <w:style w:type="character" w:customStyle="1" w:styleId="TitleChar">
    <w:name w:val="Title Char"/>
    <w:basedOn w:val="DefaultParagraphFont"/>
    <w:link w:val="Title"/>
    <w:uiPriority w:val="10"/>
    <w:rsid w:val="00803FC4"/>
    <w:rPr>
      <w:rFonts w:ascii="Cambria" w:eastAsia="Times New Roman" w:hAnsi="Cambria" w:cs="Times New Roman"/>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803FC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03FC4"/>
    <w:rPr>
      <w:rFonts w:ascii="Tahoma" w:eastAsia="Calibri" w:hAnsi="Tahoma" w:cs="Tahoma"/>
      <w:sz w:val="16"/>
      <w:szCs w:val="16"/>
    </w:rPr>
  </w:style>
  <w:style w:type="paragraph" w:styleId="NoSpacing">
    <w:name w:val="No Spacing"/>
    <w:uiPriority w:val="1"/>
    <w:qFormat/>
    <w:rsid w:val="00803FC4"/>
    <w:pPr>
      <w:spacing w:after="0" w:line="240" w:lineRule="auto"/>
    </w:pPr>
    <w:rPr>
      <w:rFonts w:ascii="Calibri" w:eastAsia="Times New Roman" w:hAnsi="Calibri" w:cs="Times New Roman"/>
    </w:rPr>
  </w:style>
  <w:style w:type="paragraph" w:styleId="ListParagraph">
    <w:name w:val="List Paragraph"/>
    <w:basedOn w:val="Normal"/>
    <w:uiPriority w:val="34"/>
    <w:qFormat/>
    <w:rsid w:val="00803FC4"/>
    <w:pPr>
      <w:spacing w:after="200" w:line="276" w:lineRule="auto"/>
      <w:ind w:left="720"/>
      <w:contextualSpacing/>
    </w:pPr>
    <w:rPr>
      <w:rFonts w:ascii="Calibri" w:eastAsia="Calibri" w:hAnsi="Calibri" w:cs="Times New Roman"/>
    </w:rPr>
  </w:style>
  <w:style w:type="character" w:styleId="FootnoteReference">
    <w:name w:val="footnote reference"/>
    <w:basedOn w:val="DefaultParagraphFont"/>
    <w:uiPriority w:val="99"/>
    <w:semiHidden/>
    <w:unhideWhenUsed/>
    <w:rsid w:val="00803FC4"/>
    <w:rPr>
      <w:vertAlign w:val="superscript"/>
    </w:rPr>
  </w:style>
  <w:style w:type="character" w:styleId="EndnoteReference">
    <w:name w:val="endnote reference"/>
    <w:basedOn w:val="DefaultParagraphFont"/>
    <w:uiPriority w:val="99"/>
    <w:semiHidden/>
    <w:unhideWhenUsed/>
    <w:rsid w:val="00803FC4"/>
    <w:rPr>
      <w:vertAlign w:val="superscript"/>
    </w:rPr>
  </w:style>
  <w:style w:type="table" w:styleId="TableGrid">
    <w:name w:val="Table Grid"/>
    <w:basedOn w:val="TableNormal"/>
    <w:uiPriority w:val="59"/>
    <w:rsid w:val="00803F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03FC4"/>
    <w:rPr>
      <w:b/>
      <w:bCs/>
    </w:rPr>
  </w:style>
  <w:style w:type="character" w:customStyle="1" w:styleId="Heading1Char">
    <w:name w:val="Heading 1 Char"/>
    <w:basedOn w:val="DefaultParagraphFont"/>
    <w:link w:val="Heading1"/>
    <w:uiPriority w:val="9"/>
    <w:rsid w:val="005A46BD"/>
    <w:rPr>
      <w:rFonts w:asciiTheme="majorHAnsi" w:eastAsiaTheme="majorEastAsia" w:hAnsiTheme="majorHAnsi" w:cstheme="majorBidi"/>
      <w:b/>
      <w:bCs/>
      <w:color w:val="2E74B5" w:themeColor="accent1" w:themeShade="BF"/>
      <w:sz w:val="28"/>
      <w:szCs w:val="28"/>
    </w:rPr>
  </w:style>
  <w:style w:type="character" w:styleId="CommentReference">
    <w:name w:val="annotation reference"/>
    <w:basedOn w:val="DefaultParagraphFont"/>
    <w:uiPriority w:val="99"/>
    <w:semiHidden/>
    <w:unhideWhenUsed/>
    <w:rsid w:val="005A46BD"/>
    <w:rPr>
      <w:sz w:val="16"/>
      <w:szCs w:val="16"/>
    </w:rPr>
  </w:style>
  <w:style w:type="paragraph" w:styleId="CommentText">
    <w:name w:val="annotation text"/>
    <w:basedOn w:val="Normal"/>
    <w:link w:val="CommentTextChar"/>
    <w:uiPriority w:val="99"/>
    <w:semiHidden/>
    <w:unhideWhenUsed/>
    <w:rsid w:val="005A46BD"/>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5A46BD"/>
    <w:rPr>
      <w:sz w:val="20"/>
      <w:szCs w:val="20"/>
    </w:rPr>
  </w:style>
  <w:style w:type="paragraph" w:styleId="CommentSubject">
    <w:name w:val="annotation subject"/>
    <w:basedOn w:val="CommentText"/>
    <w:next w:val="CommentText"/>
    <w:link w:val="CommentSubjectChar"/>
    <w:uiPriority w:val="99"/>
    <w:semiHidden/>
    <w:unhideWhenUsed/>
    <w:rsid w:val="005A46BD"/>
    <w:rPr>
      <w:b/>
      <w:bCs/>
    </w:rPr>
  </w:style>
  <w:style w:type="character" w:customStyle="1" w:styleId="CommentSubjectChar">
    <w:name w:val="Comment Subject Char"/>
    <w:basedOn w:val="CommentTextChar"/>
    <w:link w:val="CommentSubject"/>
    <w:uiPriority w:val="99"/>
    <w:semiHidden/>
    <w:rsid w:val="005A46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5039380">
      <w:bodyDiv w:val="1"/>
      <w:marLeft w:val="0"/>
      <w:marRight w:val="0"/>
      <w:marTop w:val="0"/>
      <w:marBottom w:val="0"/>
      <w:divBdr>
        <w:top w:val="none" w:sz="0" w:space="0" w:color="auto"/>
        <w:left w:val="none" w:sz="0" w:space="0" w:color="auto"/>
        <w:bottom w:val="none" w:sz="0" w:space="0" w:color="auto"/>
        <w:right w:val="none" w:sz="0" w:space="0" w:color="auto"/>
      </w:divBdr>
    </w:div>
    <w:div w:id="206663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header" Target="header2.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49.xml"/><Relationship Id="rId68" Type="http://schemas.openxmlformats.org/officeDocument/2006/relationships/chart" Target="charts/chart5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header" Target="header1.xml"/><Relationship Id="rId53" Type="http://schemas.openxmlformats.org/officeDocument/2006/relationships/chart" Target="charts/chart40.xml"/><Relationship Id="rId58" Type="http://schemas.openxmlformats.org/officeDocument/2006/relationships/chart" Target="charts/chart44.xml"/><Relationship Id="rId66" Type="http://schemas.openxmlformats.org/officeDocument/2006/relationships/chart" Target="charts/chart5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6.xml"/><Relationship Id="rId57" Type="http://schemas.openxmlformats.org/officeDocument/2006/relationships/footer" Target="footer2.xml"/><Relationship Id="rId61" Type="http://schemas.openxmlformats.org/officeDocument/2006/relationships/chart" Target="charts/chart47.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39.xml"/><Relationship Id="rId60" Type="http://schemas.openxmlformats.org/officeDocument/2006/relationships/chart" Target="charts/chart46.xml"/><Relationship Id="rId65" Type="http://schemas.openxmlformats.org/officeDocument/2006/relationships/chart" Target="charts/chart5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0.xml"/><Relationship Id="rId69" Type="http://schemas.openxmlformats.org/officeDocument/2006/relationships/hyperlink" Target="http://www.health.state.mn.us/divs/fh/wic/localagency/infosystem/pednss/index.html" TargetMode="External"/><Relationship Id="rId8" Type="http://schemas.openxmlformats.org/officeDocument/2006/relationships/image" Target="media/image1.png"/><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footer" Target="footer1.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1.xml"/><Relationship Id="rId62" Type="http://schemas.openxmlformats.org/officeDocument/2006/relationships/chart" Target="charts/chart48.xml"/><Relationship Id="rId7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ealth.state.mn.us/divs/chs/mss/" TargetMode="External"/><Relationship Id="rId13" Type="http://schemas.openxmlformats.org/officeDocument/2006/relationships/hyperlink" Target="https://www.planning.org/research/family/briefingpapers/childcare.htm" TargetMode="External"/><Relationship Id="rId18" Type="http://schemas.openxmlformats.org/officeDocument/2006/relationships/hyperlink" Target="http://www.health.state.mn.us/divs/hpcd/chp/cdrr/alcohol/alcpdf/AlcoholFactsheet.pdf" TargetMode="External"/><Relationship Id="rId26" Type="http://schemas.openxmlformats.org/officeDocument/2006/relationships/hyperlink" Target="http://www.health.state.mn.us/divs/pcd/chp/cdrr/obesity/heathyweights.html" TargetMode="External"/><Relationship Id="rId3" Type="http://schemas.openxmlformats.org/officeDocument/2006/relationships/hyperlink" Target="https://mn.gov/admin/demography/data-by-topic/population-data/our-projections/" TargetMode="External"/><Relationship Id="rId21" Type="http://schemas.openxmlformats.org/officeDocument/2006/relationships/hyperlink" Target="https://www.ncbi.nlm.nih.gov/books/NBK11795/" TargetMode="External"/><Relationship Id="rId7" Type="http://schemas.openxmlformats.org/officeDocument/2006/relationships/hyperlink" Target="http://www.countyhealthrankings.org/app/minnesota/2015/compare/snapshot?counties=27_051%2B27_121%2B27_149%2B27_155%2B27_041" TargetMode="External"/><Relationship Id="rId12" Type="http://schemas.openxmlformats.org/officeDocument/2006/relationships/hyperlink" Target="https://www.childtrends.org/indicators/births-to-unmarried-women/" TargetMode="External"/><Relationship Id="rId17" Type="http://schemas.openxmlformats.org/officeDocument/2006/relationships/hyperlink" Target="https://www.healthypeople.gov/2020/topics-objectives/topic/physical-activity" TargetMode="External"/><Relationship Id="rId25" Type="http://schemas.openxmlformats.org/officeDocument/2006/relationships/hyperlink" Target="http://www.cdc.gov/cancer/prostate/basic_info/fast_facts.htm" TargetMode="External"/><Relationship Id="rId2" Type="http://schemas.openxmlformats.org/officeDocument/2006/relationships/hyperlink" Target="http://mn.gov/admin/assets/demographic-considerations-planning-for-mn-leaders-msdc-march2016_tcm36-219453.pdf" TargetMode="External"/><Relationship Id="rId16" Type="http://schemas.openxmlformats.org/officeDocument/2006/relationships/hyperlink" Target="http://www.health.state.mn.us/divs/chs/mss/countytables/index.cfm" TargetMode="External"/><Relationship Id="rId20" Type="http://schemas.openxmlformats.org/officeDocument/2006/relationships/hyperlink" Target="http://www.health.state.mn.us/divs/hpcd/tpc/quit.html" TargetMode="External"/><Relationship Id="rId1" Type="http://schemas.openxmlformats.org/officeDocument/2006/relationships/hyperlink" Target="http://www.who.int/governance/eb/who_constitution_en.pdf" TargetMode="External"/><Relationship Id="rId6" Type="http://schemas.openxmlformats.org/officeDocument/2006/relationships/hyperlink" Target="http://www.health.state.mn.us/divs/eh/lead/vintage/index.html" TargetMode="External"/><Relationship Id="rId11" Type="http://schemas.openxmlformats.org/officeDocument/2006/relationships/hyperlink" Target="http://www.mayoclinic.org/diseases-conditions/premature-birth/basics/complications/CON-20020050" TargetMode="External"/><Relationship Id="rId24" Type="http://schemas.openxmlformats.org/officeDocument/2006/relationships/hyperlink" Target="http://www.nationalbreastcancer.org/breast-cancer-facts" TargetMode="External"/><Relationship Id="rId5" Type="http://schemas.openxmlformats.org/officeDocument/2006/relationships/hyperlink" Target="http://www.health.state.mn.us/healthymnpartnership/sha/docs/1204healthofminnesota.pdf" TargetMode="External"/><Relationship Id="rId15" Type="http://schemas.openxmlformats.org/officeDocument/2006/relationships/hyperlink" Target="http://www.health.gove/paguidedlines/" TargetMode="External"/><Relationship Id="rId23" Type="http://schemas.openxmlformats.org/officeDocument/2006/relationships/hyperlink" Target="http://www.health.state.mn.us/healthymnpartnership/sha/docs/1205healthofminnesotasupp.pdf" TargetMode="External"/><Relationship Id="rId10" Type="http://schemas.openxmlformats.org/officeDocument/2006/relationships/hyperlink" Target="https://www.cdc.gov/nphpsp/essentialservices.html" TargetMode="External"/><Relationship Id="rId19" Type="http://schemas.openxmlformats.org/officeDocument/2006/relationships/hyperlink" Target="http://www.cdc.gove/alcohol/fact-sheets/binge-drinking.htm" TargetMode="External"/><Relationship Id="rId4" Type="http://schemas.openxmlformats.org/officeDocument/2006/relationships/hyperlink" Target="http://www.rwjf.org/files/research/sdohseries2011education.pdf" TargetMode="External"/><Relationship Id="rId9" Type="http://schemas.openxmlformats.org/officeDocument/2006/relationships/hyperlink" Target="http://www.countyhealthrankings.org/app/minnesota/2016/compare/snapshot?counties=27_041%2B27_051%2B27_121%2B27_149%2B27_155" TargetMode="External"/><Relationship Id="rId14" Type="http://schemas.openxmlformats.org/officeDocument/2006/relationships/hyperlink" Target="http://www.countyhealthrankings.org/app/minnesota/2017/measure/factors/140/description" TargetMode="External"/><Relationship Id="rId22" Type="http://schemas.openxmlformats.org/officeDocument/2006/relationships/hyperlink" Target="http://www.cancer.org/acs/groups/content/@epidemiologysurveilance/documents/document/acspc-036845.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MM%20Stats\Desktop\Horizons%20-%20Master%20List%20P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2" Type="http://schemas.openxmlformats.org/officeDocument/2006/relationships/oleObject" Target="file:///F:\Horizons\Part%201\Horizons%20-%20Master%20List%20P1.xlsx" TargetMode="External"/><Relationship Id="rId1" Type="http://schemas.openxmlformats.org/officeDocument/2006/relationships/themeOverride" Target="../theme/themeOverride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6.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7.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8.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9.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9.xlsx"/><Relationship Id="rId1" Type="http://schemas.openxmlformats.org/officeDocument/2006/relationships/themeOverride" Target="../theme/themeOverride10.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72.18.1.3\Public\$ADMIN%20HZN\StaffFolders\Kelsey%20Peterson\Community%20Health%20Strategist-Accreditation%20Coordinator\CHA\Quantitative%20Data\MDH-Demographics%20Information%202015.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F:\Horizons\Horizons%20-%20Part%20II%20-%20Random.xlsx" TargetMode="External"/><Relationship Id="rId1" Type="http://schemas.openxmlformats.org/officeDocument/2006/relationships/themeOverride" Target="../theme/themeOverride11.xm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wente011\Desktop\Horizons_PART%20I\Horizons%20-%20Master%20List%20P2.xlsx" TargetMode="Externa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wente011\Desktop\Horizons_PART%20I\Horizons%20-%20Master%20List%20P2.xlsx" TargetMode="External"/><Relationship Id="rId1" Type="http://schemas.openxmlformats.org/officeDocument/2006/relationships/themeOverride" Target="../theme/themeOverride12.xml"/></Relationships>
</file>

<file path=word/charts/_rels/chart43.xml.rels><?xml version="1.0" encoding="UTF-8" standalone="yes"?>
<Relationships xmlns="http://schemas.openxmlformats.org/package/2006/relationships"><Relationship Id="rId2" Type="http://schemas.openxmlformats.org/officeDocument/2006/relationships/oleObject" Target="file:///F:\Horizons\Part%202\Horizons%20-%20Master%20List%20P2.xlsx" TargetMode="External"/><Relationship Id="rId1" Type="http://schemas.openxmlformats.org/officeDocument/2006/relationships/themeOverride" Target="../theme/themeOverride13.xm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wente011\Desktop\Horizons_PART%20I\Horizons%20-%20Master%20List%20P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wente011\Desktop\Horizons_PART%20I\Horizons%20-%20Master%20List%20P2.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file:///C:\Users\wente011\Desktop\Horizons_PART%20I\Horizons%20-%20Master%20List%20P2.xlsx" TargetMode="External"/><Relationship Id="rId1" Type="http://schemas.openxmlformats.org/officeDocument/2006/relationships/themeOverride" Target="../theme/themeOverride14.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wente011\Desktop\Horizons_PART%20I\Horizons%20-%20Master%20List%20P2.xlsx" TargetMode="External"/><Relationship Id="rId1" Type="http://schemas.openxmlformats.org/officeDocument/2006/relationships/themeOverride" Target="../theme/themeOverride15.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Users\wente011\Desktop\Horizons_PART%20I\Horizons%20-%20Master%20List%20P2.xlsx" TargetMode="External"/><Relationship Id="rId1" Type="http://schemas.openxmlformats.org/officeDocument/2006/relationships/themeOverride" Target="../theme/themeOverride16.xml"/></Relationships>
</file>

<file path=word/charts/_rels/chart49.xml.rels><?xml version="1.0" encoding="UTF-8" standalone="yes"?>
<Relationships xmlns="http://schemas.openxmlformats.org/package/2006/relationships"><Relationship Id="rId2" Type="http://schemas.openxmlformats.org/officeDocument/2006/relationships/oleObject" Target="file:///F:\Horizon\Part%202\Data\STUD%20Survey.xlsx" TargetMode="External"/><Relationship Id="rId1" Type="http://schemas.openxmlformats.org/officeDocument/2006/relationships/themeOverride" Target="../theme/themeOverride17.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oleObject" Target="file:///F:\Horizon\Part%202\Data\STUD%20Survey.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Horizon\Part%202\Data\STUD%20Survey.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file:///F:\Horizon\Part%202\Data\STUD%20Survey.xlsx" TargetMode="External"/><Relationship Id="rId1" Type="http://schemas.openxmlformats.org/officeDocument/2006/relationships/themeOverride" Target="../theme/themeOverride18.xml"/></Relationships>
</file>

<file path=word/charts/_rels/chart53.xml.rels><?xml version="1.0" encoding="UTF-8" standalone="yes"?>
<Relationships xmlns="http://schemas.openxmlformats.org/package/2006/relationships"><Relationship Id="rId1" Type="http://schemas.openxmlformats.org/officeDocument/2006/relationships/oleObject" Target="file:///F:\Horizon\Part%202\Data\STUD%20Survey.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Horizon\Part%202\Data\STUD%20Surve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oleObject" Target="file:///C:\Users\asch0045\Google%20Drive\Projects\FY13%20Projects\Current%20Projects\Horizons%20Community%20Health%20Board\Reports%20and%20Data\Horizons\Part%202\Horizons%20Share%20with%20Madeline\Horizon%20Hispanic%20and%20Latino%20Po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309145749046565E-2"/>
          <c:y val="0.12908254670994529"/>
          <c:w val="0.92249575847217991"/>
          <c:h val="0.62121762751684007"/>
        </c:manualLayout>
      </c:layout>
      <c:barChart>
        <c:barDir val="col"/>
        <c:grouping val="clustered"/>
        <c:varyColors val="0"/>
        <c:ser>
          <c:idx val="0"/>
          <c:order val="0"/>
          <c:tx>
            <c:v>% Change 1990-2000</c:v>
          </c:tx>
          <c:invertIfNegative val="0"/>
          <c:dLbls>
            <c:delete val="1"/>
          </c:dLbls>
          <c:cat>
            <c:strRef>
              <c:f>'Population Trends'!$A$3:$A$9</c:f>
              <c:strCache>
                <c:ptCount val="7"/>
                <c:pt idx="0">
                  <c:v>Minnesota</c:v>
                </c:pt>
                <c:pt idx="1">
                  <c:v>Horizon Community</c:v>
                </c:pt>
                <c:pt idx="2">
                  <c:v>Douglas County</c:v>
                </c:pt>
                <c:pt idx="3">
                  <c:v>Grant County</c:v>
                </c:pt>
                <c:pt idx="4">
                  <c:v>Pope County</c:v>
                </c:pt>
                <c:pt idx="5">
                  <c:v>Stevens County</c:v>
                </c:pt>
                <c:pt idx="6">
                  <c:v>Traverse County</c:v>
                </c:pt>
              </c:strCache>
            </c:strRef>
          </c:cat>
          <c:val>
            <c:numRef>
              <c:f>'Population Trends'!$F$3:$F$9</c:f>
              <c:numCache>
                <c:formatCode>0.0%</c:formatCode>
                <c:ptCount val="7"/>
                <c:pt idx="0">
                  <c:v>0.124</c:v>
                </c:pt>
                <c:pt idx="1">
                  <c:v>6.2061814950133305E-2</c:v>
                </c:pt>
                <c:pt idx="2">
                  <c:v>0.14499999999999999</c:v>
                </c:pt>
                <c:pt idx="3">
                  <c:v>7.0000000000000001E-3</c:v>
                </c:pt>
                <c:pt idx="4">
                  <c:v>4.5999999999999999E-2</c:v>
                </c:pt>
                <c:pt idx="5">
                  <c:v>-5.5E-2</c:v>
                </c:pt>
                <c:pt idx="6">
                  <c:v>-7.3999999999999996E-2</c:v>
                </c:pt>
              </c:numCache>
            </c:numRef>
          </c:val>
        </c:ser>
        <c:ser>
          <c:idx val="1"/>
          <c:order val="1"/>
          <c:tx>
            <c:v>% Change 2000-2010</c:v>
          </c:tx>
          <c:invertIfNegative val="0"/>
          <c:dLbls>
            <c:delete val="1"/>
          </c:dLbls>
          <c:cat>
            <c:strRef>
              <c:f>'Population Trends'!$A$3:$A$9</c:f>
              <c:strCache>
                <c:ptCount val="7"/>
                <c:pt idx="0">
                  <c:v>Minnesota</c:v>
                </c:pt>
                <c:pt idx="1">
                  <c:v>Horizon Community</c:v>
                </c:pt>
                <c:pt idx="2">
                  <c:v>Douglas County</c:v>
                </c:pt>
                <c:pt idx="3">
                  <c:v>Grant County</c:v>
                </c:pt>
                <c:pt idx="4">
                  <c:v>Pope County</c:v>
                </c:pt>
                <c:pt idx="5">
                  <c:v>Stevens County</c:v>
                </c:pt>
                <c:pt idx="6">
                  <c:v>Traverse County</c:v>
                </c:pt>
              </c:strCache>
            </c:strRef>
          </c:cat>
          <c:val>
            <c:numRef>
              <c:f>'Population Trends'!$H$3:$H$9</c:f>
              <c:numCache>
                <c:formatCode>0.0%</c:formatCode>
                <c:ptCount val="7"/>
                <c:pt idx="0">
                  <c:v>7.8E-2</c:v>
                </c:pt>
                <c:pt idx="1">
                  <c:v>2.747431546650551E-2</c:v>
                </c:pt>
                <c:pt idx="2">
                  <c:v>9.7000000000000003E-2</c:v>
                </c:pt>
                <c:pt idx="3">
                  <c:v>-4.2999999999999997E-2</c:v>
                </c:pt>
                <c:pt idx="4">
                  <c:v>-2.1000000000000001E-2</c:v>
                </c:pt>
                <c:pt idx="5">
                  <c:v>-3.3000000000000002E-2</c:v>
                </c:pt>
                <c:pt idx="6">
                  <c:v>-0.13900000000000001</c:v>
                </c:pt>
              </c:numCache>
            </c:numRef>
          </c:val>
        </c:ser>
        <c:ser>
          <c:idx val="2"/>
          <c:order val="2"/>
          <c:tx>
            <c:v>% Minority, 2010</c:v>
          </c:tx>
          <c:invertIfNegative val="0"/>
          <c:dLbls>
            <c:delete val="1"/>
          </c:dLbls>
          <c:cat>
            <c:strRef>
              <c:f>'Population Trends'!$A$3:$A$9</c:f>
              <c:strCache>
                <c:ptCount val="7"/>
                <c:pt idx="0">
                  <c:v>Minnesota</c:v>
                </c:pt>
                <c:pt idx="1">
                  <c:v>Horizon Community</c:v>
                </c:pt>
                <c:pt idx="2">
                  <c:v>Douglas County</c:v>
                </c:pt>
                <c:pt idx="3">
                  <c:v>Grant County</c:v>
                </c:pt>
                <c:pt idx="4">
                  <c:v>Pope County</c:v>
                </c:pt>
                <c:pt idx="5">
                  <c:v>Stevens County</c:v>
                </c:pt>
                <c:pt idx="6">
                  <c:v>Traverse County</c:v>
                </c:pt>
              </c:strCache>
            </c:strRef>
          </c:cat>
          <c:val>
            <c:numRef>
              <c:f>'Population Trends'!$J$3:$J$9</c:f>
              <c:numCache>
                <c:formatCode>0.0%</c:formatCode>
                <c:ptCount val="7"/>
                <c:pt idx="0">
                  <c:v>0.16900000000000001</c:v>
                </c:pt>
                <c:pt idx="1">
                  <c:v>0</c:v>
                </c:pt>
                <c:pt idx="2">
                  <c:v>2.9000000000000001E-2</c:v>
                </c:pt>
                <c:pt idx="3">
                  <c:v>3.1E-2</c:v>
                </c:pt>
                <c:pt idx="4">
                  <c:v>2.5000000000000001E-2</c:v>
                </c:pt>
                <c:pt idx="5">
                  <c:v>8.2000000000000003E-2</c:v>
                </c:pt>
                <c:pt idx="6">
                  <c:v>6.6000000000000003E-2</c:v>
                </c:pt>
              </c:numCache>
            </c:numRef>
          </c:val>
        </c:ser>
        <c:dLbls>
          <c:dLblPos val="inEnd"/>
          <c:showLegendKey val="0"/>
          <c:showVal val="1"/>
          <c:showCatName val="0"/>
          <c:showSerName val="0"/>
          <c:showPercent val="0"/>
          <c:showBubbleSize val="0"/>
        </c:dLbls>
        <c:gapWidth val="150"/>
        <c:axId val="318082528"/>
        <c:axId val="318082920"/>
      </c:barChart>
      <c:catAx>
        <c:axId val="318082528"/>
        <c:scaling>
          <c:orientation val="minMax"/>
        </c:scaling>
        <c:delete val="0"/>
        <c:axPos val="b"/>
        <c:title>
          <c:tx>
            <c:rich>
              <a:bodyPr/>
              <a:lstStyle/>
              <a:p>
                <a:pPr>
                  <a:defRPr/>
                </a:pPr>
                <a:r>
                  <a:rPr lang="en-US" b="0" i="1"/>
                  <a:t>Source: Minnesota Department of Administration. Geographic and Demographic Analysis Division</a:t>
                </a:r>
              </a:p>
            </c:rich>
          </c:tx>
          <c:layout>
            <c:manualLayout>
              <c:xMode val="edge"/>
              <c:yMode val="edge"/>
              <c:x val="1.6316009918969955E-2"/>
              <c:y val="0.92195271919681365"/>
            </c:manualLayout>
          </c:layout>
          <c:overlay val="0"/>
        </c:title>
        <c:numFmt formatCode="General" sourceLinked="0"/>
        <c:majorTickMark val="out"/>
        <c:minorTickMark val="none"/>
        <c:tickLblPos val="low"/>
        <c:crossAx val="318082920"/>
        <c:crossesAt val="0"/>
        <c:auto val="1"/>
        <c:lblAlgn val="ctr"/>
        <c:lblOffset val="100"/>
        <c:noMultiLvlLbl val="0"/>
      </c:catAx>
      <c:valAx>
        <c:axId val="318082920"/>
        <c:scaling>
          <c:orientation val="minMax"/>
          <c:min val="-0.15000000000000002"/>
        </c:scaling>
        <c:delete val="0"/>
        <c:axPos val="l"/>
        <c:majorGridlines/>
        <c:numFmt formatCode="0.0%" sourceLinked="1"/>
        <c:majorTickMark val="out"/>
        <c:minorTickMark val="none"/>
        <c:tickLblPos val="nextTo"/>
        <c:crossAx val="318082528"/>
        <c:crossesAt val="1"/>
        <c:crossBetween val="between"/>
      </c:valAx>
    </c:plotArea>
    <c:legend>
      <c:legendPos val="t"/>
      <c:layout>
        <c:manualLayout>
          <c:xMode val="edge"/>
          <c:yMode val="edge"/>
          <c:x val="0.16763060228707069"/>
          <c:y val="0"/>
          <c:w val="0.66473879542585856"/>
          <c:h val="0.11242731141110486"/>
        </c:manualLayout>
      </c:layout>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91889034703996"/>
          <c:y val="0"/>
        </c:manualLayout>
      </c:layout>
      <c:overlay val="0"/>
    </c:title>
    <c:autoTitleDeleted val="0"/>
    <c:plotArea>
      <c:layout/>
      <c:barChart>
        <c:barDir val="col"/>
        <c:grouping val="clustered"/>
        <c:varyColors val="0"/>
        <c:ser>
          <c:idx val="0"/>
          <c:order val="0"/>
          <c:tx>
            <c:strRef>
              <c:f>Sheet1!$B$1</c:f>
              <c:strCache>
                <c:ptCount val="1"/>
                <c:pt idx="0">
                  <c:v>Percent of Individuals that Speak Language other than English at Home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Douglas</c:v>
                </c:pt>
                <c:pt idx="1">
                  <c:v>Grant</c:v>
                </c:pt>
                <c:pt idx="2">
                  <c:v>Pope</c:v>
                </c:pt>
                <c:pt idx="3">
                  <c:v>Stevens</c:v>
                </c:pt>
                <c:pt idx="4">
                  <c:v>Traverse</c:v>
                </c:pt>
                <c:pt idx="5">
                  <c:v>Minnesota</c:v>
                </c:pt>
              </c:strCache>
            </c:strRef>
          </c:cat>
          <c:val>
            <c:numRef>
              <c:f>Sheet1!$B$2:$B$7</c:f>
              <c:numCache>
                <c:formatCode>0.00%</c:formatCode>
                <c:ptCount val="6"/>
                <c:pt idx="0">
                  <c:v>2.8000000000000001E-2</c:v>
                </c:pt>
                <c:pt idx="1">
                  <c:v>2.5000000000000001E-2</c:v>
                </c:pt>
                <c:pt idx="2">
                  <c:v>2.1000000000000001E-2</c:v>
                </c:pt>
                <c:pt idx="3">
                  <c:v>6.3E-2</c:v>
                </c:pt>
                <c:pt idx="4">
                  <c:v>3.2000000000000001E-2</c:v>
                </c:pt>
                <c:pt idx="5" formatCode="0%">
                  <c:v>0.11</c:v>
                </c:pt>
              </c:numCache>
            </c:numRef>
          </c:val>
        </c:ser>
        <c:dLbls>
          <c:showLegendKey val="0"/>
          <c:showVal val="0"/>
          <c:showCatName val="0"/>
          <c:showSerName val="0"/>
          <c:showPercent val="0"/>
          <c:showBubbleSize val="0"/>
        </c:dLbls>
        <c:gapWidth val="150"/>
        <c:axId val="319473696"/>
        <c:axId val="320398304"/>
      </c:barChart>
      <c:catAx>
        <c:axId val="319473696"/>
        <c:scaling>
          <c:orientation val="minMax"/>
        </c:scaling>
        <c:delete val="0"/>
        <c:axPos val="b"/>
        <c:numFmt formatCode="General" sourceLinked="0"/>
        <c:majorTickMark val="out"/>
        <c:minorTickMark val="none"/>
        <c:tickLblPos val="nextTo"/>
        <c:crossAx val="320398304"/>
        <c:crosses val="autoZero"/>
        <c:auto val="1"/>
        <c:lblAlgn val="ctr"/>
        <c:lblOffset val="100"/>
        <c:noMultiLvlLbl val="0"/>
      </c:catAx>
      <c:valAx>
        <c:axId val="320398304"/>
        <c:scaling>
          <c:orientation val="minMax"/>
        </c:scaling>
        <c:delete val="0"/>
        <c:axPos val="l"/>
        <c:majorGridlines/>
        <c:numFmt formatCode="0.00%" sourceLinked="1"/>
        <c:majorTickMark val="out"/>
        <c:minorTickMark val="none"/>
        <c:tickLblPos val="nextTo"/>
        <c:crossAx val="3194736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a:t>Percentage of</a:t>
            </a:r>
            <a:r>
              <a:rPr lang="en-US" sz="1200" i="1" baseline="0"/>
              <a:t> People 65 years of  age and older, 2015</a:t>
            </a:r>
            <a:endParaRPr lang="en-US" sz="1200" i="1"/>
          </a:p>
        </c:rich>
      </c:tx>
      <c:layout/>
      <c:overlay val="0"/>
    </c:title>
    <c:autoTitleDeleted val="0"/>
    <c:plotArea>
      <c:layout/>
      <c:barChart>
        <c:barDir val="col"/>
        <c:grouping val="clustered"/>
        <c:varyColors val="0"/>
        <c:ser>
          <c:idx val="0"/>
          <c:order val="0"/>
          <c:tx>
            <c:strRef>
              <c:f>Sheet1!$B$1</c:f>
              <c:strCache>
                <c:ptCount val="1"/>
                <c:pt idx="0">
                  <c:v>Percentage</c:v>
                </c:pt>
              </c:strCache>
            </c:strRef>
          </c:tx>
          <c:invertIfNegative val="0"/>
          <c:dLbls>
            <c:dLbl>
              <c:idx val="0"/>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23.3%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25.7%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CHB</c:v>
                </c:pt>
                <c:pt idx="1">
                  <c:v>Douglas</c:v>
                </c:pt>
                <c:pt idx="2">
                  <c:v>Grant</c:v>
                </c:pt>
                <c:pt idx="3">
                  <c:v>Pope</c:v>
                </c:pt>
                <c:pt idx="4">
                  <c:v>Stevens</c:v>
                </c:pt>
                <c:pt idx="5">
                  <c:v>Traverse</c:v>
                </c:pt>
              </c:strCache>
            </c:strRef>
          </c:cat>
          <c:val>
            <c:numRef>
              <c:f>Sheet1!$B$2:$B$7</c:f>
              <c:numCache>
                <c:formatCode>#,##0</c:formatCode>
                <c:ptCount val="6"/>
                <c:pt idx="0">
                  <c:v>21.4</c:v>
                </c:pt>
                <c:pt idx="1">
                  <c:v>21.6</c:v>
                </c:pt>
                <c:pt idx="2" formatCode="General">
                  <c:v>23.3</c:v>
                </c:pt>
                <c:pt idx="3">
                  <c:v>22.7</c:v>
                </c:pt>
                <c:pt idx="4">
                  <c:v>16.3</c:v>
                </c:pt>
                <c:pt idx="5" formatCode="General">
                  <c:v>25.7</c:v>
                </c:pt>
              </c:numCache>
            </c:numRef>
          </c:val>
        </c:ser>
        <c:dLbls>
          <c:showLegendKey val="0"/>
          <c:showVal val="0"/>
          <c:showCatName val="0"/>
          <c:showSerName val="0"/>
          <c:showPercent val="0"/>
          <c:showBubbleSize val="0"/>
        </c:dLbls>
        <c:gapWidth val="150"/>
        <c:axId val="320399088"/>
        <c:axId val="320399480"/>
      </c:barChart>
      <c:catAx>
        <c:axId val="320399088"/>
        <c:scaling>
          <c:orientation val="minMax"/>
        </c:scaling>
        <c:delete val="0"/>
        <c:axPos val="b"/>
        <c:numFmt formatCode="General" sourceLinked="0"/>
        <c:majorTickMark val="out"/>
        <c:minorTickMark val="none"/>
        <c:tickLblPos val="nextTo"/>
        <c:crossAx val="320399480"/>
        <c:crosses val="autoZero"/>
        <c:auto val="1"/>
        <c:lblAlgn val="ctr"/>
        <c:lblOffset val="100"/>
        <c:noMultiLvlLbl val="0"/>
      </c:catAx>
      <c:valAx>
        <c:axId val="320399480"/>
        <c:scaling>
          <c:orientation val="minMax"/>
        </c:scaling>
        <c:delete val="0"/>
        <c:axPos val="l"/>
        <c:majorGridlines/>
        <c:numFmt formatCode="#,##0" sourceLinked="1"/>
        <c:majorTickMark val="out"/>
        <c:minorTickMark val="none"/>
        <c:tickLblPos val="nextTo"/>
        <c:crossAx val="32039908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Sheet1!$B$2</c:f>
              <c:numCache>
                <c:formatCode>General</c:formatCode>
                <c:ptCount val="1"/>
                <c:pt idx="0">
                  <c:v>68977</c:v>
                </c:pt>
              </c:numCache>
            </c:numRef>
          </c:val>
        </c:ser>
        <c:ser>
          <c:idx val="1"/>
          <c:order val="1"/>
          <c:tx>
            <c:strRef>
              <c:f>Sheet1!$C$1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Sheet1!$C$2</c:f>
              <c:numCache>
                <c:formatCode>General</c:formatCode>
                <c:ptCount val="1"/>
                <c:pt idx="0">
                  <c:v>70312</c:v>
                </c:pt>
              </c:numCache>
            </c:numRef>
          </c:val>
        </c:ser>
        <c:ser>
          <c:idx val="2"/>
          <c:order val="2"/>
          <c:tx>
            <c:strRef>
              <c:f>Sheet1!$D$1</c:f>
              <c:strCache>
                <c:ptCount val="1"/>
                <c:pt idx="0">
                  <c:v>2025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Sheet1!$D$2</c:f>
              <c:numCache>
                <c:formatCode>General</c:formatCode>
                <c:ptCount val="1"/>
                <c:pt idx="0">
                  <c:v>71106</c:v>
                </c:pt>
              </c:numCache>
            </c:numRef>
          </c:val>
        </c:ser>
        <c:ser>
          <c:idx val="3"/>
          <c:order val="3"/>
          <c:tx>
            <c:strRef>
              <c:f>Sheet1!$E$1</c:f>
              <c:strCache>
                <c:ptCount val="1"/>
                <c:pt idx="0">
                  <c:v>2030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Sheet1!$E$2</c:f>
              <c:numCache>
                <c:formatCode>General</c:formatCode>
                <c:ptCount val="1"/>
                <c:pt idx="0">
                  <c:v>72059</c:v>
                </c:pt>
              </c:numCache>
            </c:numRef>
          </c:val>
        </c:ser>
        <c:ser>
          <c:idx val="4"/>
          <c:order val="4"/>
          <c:tx>
            <c:strRef>
              <c:f>Sheet1!$F$1</c:f>
              <c:strCache>
                <c:ptCount val="1"/>
                <c:pt idx="0">
                  <c:v>2035</c:v>
                </c:pt>
              </c:strCache>
            </c:strRef>
          </c:tx>
          <c:spPr>
            <a:ln w="0">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Sheet1!$F$2</c:f>
              <c:numCache>
                <c:formatCode>General</c:formatCode>
                <c:ptCount val="1"/>
                <c:pt idx="0">
                  <c:v>70814</c:v>
                </c:pt>
              </c:numCache>
            </c:numRef>
          </c:val>
        </c:ser>
        <c:ser>
          <c:idx val="5"/>
          <c:order val="5"/>
          <c:tx>
            <c:strRef>
              <c:f>Sheet1!$G$1</c:f>
              <c:strCache>
                <c:ptCount val="1"/>
                <c:pt idx="0">
                  <c:v>2040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Sheet1!$G$2</c:f>
              <c:numCache>
                <c:formatCode>General</c:formatCode>
                <c:ptCount val="1"/>
                <c:pt idx="0">
                  <c:v>70562</c:v>
                </c:pt>
              </c:numCache>
            </c:numRef>
          </c:val>
        </c:ser>
        <c:ser>
          <c:idx val="6"/>
          <c:order val="6"/>
          <c:tx>
            <c:strRef>
              <c:f>Sheet1!$H$1</c:f>
              <c:strCache>
                <c:ptCount val="1"/>
                <c:pt idx="0">
                  <c:v>2045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Population</c:v>
                </c:pt>
              </c:strCache>
            </c:strRef>
          </c:cat>
          <c:val>
            <c:numRef>
              <c:f>Sheet1!$H$2</c:f>
              <c:numCache>
                <c:formatCode>General</c:formatCode>
                <c:ptCount val="1"/>
                <c:pt idx="0">
                  <c:v>70449</c:v>
                </c:pt>
              </c:numCache>
            </c:numRef>
          </c:val>
        </c:ser>
        <c:dLbls>
          <c:showLegendKey val="0"/>
          <c:showVal val="0"/>
          <c:showCatName val="0"/>
          <c:showSerName val="0"/>
          <c:showPercent val="0"/>
          <c:showBubbleSize val="0"/>
        </c:dLbls>
        <c:gapWidth val="150"/>
        <c:axId val="320400656"/>
        <c:axId val="320401048"/>
      </c:barChart>
      <c:catAx>
        <c:axId val="320400656"/>
        <c:scaling>
          <c:orientation val="minMax"/>
        </c:scaling>
        <c:delete val="0"/>
        <c:axPos val="b"/>
        <c:numFmt formatCode="General" sourceLinked="0"/>
        <c:majorTickMark val="out"/>
        <c:minorTickMark val="none"/>
        <c:tickLblPos val="nextTo"/>
        <c:crossAx val="320401048"/>
        <c:crosses val="autoZero"/>
        <c:auto val="1"/>
        <c:lblAlgn val="ctr"/>
        <c:lblOffset val="100"/>
        <c:noMultiLvlLbl val="0"/>
      </c:catAx>
      <c:valAx>
        <c:axId val="320401048"/>
        <c:scaling>
          <c:orientation val="minMax"/>
        </c:scaling>
        <c:delete val="0"/>
        <c:axPos val="l"/>
        <c:majorGridlines/>
        <c:numFmt formatCode="General" sourceLinked="1"/>
        <c:majorTickMark val="out"/>
        <c:minorTickMark val="none"/>
        <c:tickLblPos val="nextTo"/>
        <c:crossAx val="3204006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Douglas</c:v>
                </c:pt>
              </c:strCache>
            </c:strRef>
          </c:tx>
          <c:invertIfNegative val="0"/>
          <c:dLbls>
            <c:dLbl>
              <c:idx val="0"/>
              <c:layout>
                <c:manualLayout>
                  <c:x val="-3.125E-2"/>
                  <c:y val="1.09739368998628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Sheet1!$B$2:$B$4</c:f>
              <c:numCache>
                <c:formatCode>General</c:formatCode>
                <c:ptCount val="3"/>
                <c:pt idx="0">
                  <c:v>80.400000000000006</c:v>
                </c:pt>
                <c:pt idx="1">
                  <c:v>81</c:v>
                </c:pt>
                <c:pt idx="2">
                  <c:v>79.900000000000006</c:v>
                </c:pt>
              </c:numCache>
            </c:numRef>
          </c:val>
        </c:ser>
        <c:ser>
          <c:idx val="1"/>
          <c:order val="1"/>
          <c:tx>
            <c:strRef>
              <c:f>Sheet1!$C$1</c:f>
              <c:strCache>
                <c:ptCount val="1"/>
                <c:pt idx="0">
                  <c:v>Grant</c:v>
                </c:pt>
              </c:strCache>
            </c:strRef>
          </c:tx>
          <c:invertIfNegative val="0"/>
          <c:dLbls>
            <c:dLbl>
              <c:idx val="0"/>
              <c:layout>
                <c:manualLayout>
                  <c:x val="-4.1666666666666666E-3"/>
                  <c:y val="-3.8408779149519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1666666666666666E-3"/>
                  <c:y val="-5.48696844993141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Sheet1!$C$2:$C$4</c:f>
              <c:numCache>
                <c:formatCode>General</c:formatCode>
                <c:ptCount val="3"/>
                <c:pt idx="0">
                  <c:v>89.2</c:v>
                </c:pt>
                <c:pt idx="1">
                  <c:v>86.9</c:v>
                </c:pt>
                <c:pt idx="2">
                  <c:v>97.4</c:v>
                </c:pt>
              </c:numCache>
            </c:numRef>
          </c:val>
        </c:ser>
        <c:ser>
          <c:idx val="2"/>
          <c:order val="2"/>
          <c:tx>
            <c:strRef>
              <c:f>Sheet1!$D$1</c:f>
              <c:strCache>
                <c:ptCount val="1"/>
                <c:pt idx="0">
                  <c:v>Pope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Sheet1!$D$2:$D$4</c:f>
              <c:numCache>
                <c:formatCode>General</c:formatCode>
                <c:ptCount val="3"/>
                <c:pt idx="0">
                  <c:v>88.2</c:v>
                </c:pt>
                <c:pt idx="1">
                  <c:v>83.2</c:v>
                </c:pt>
                <c:pt idx="2">
                  <c:v>90.8</c:v>
                </c:pt>
              </c:numCache>
            </c:numRef>
          </c:val>
        </c:ser>
        <c:ser>
          <c:idx val="3"/>
          <c:order val="3"/>
          <c:tx>
            <c:strRef>
              <c:f>Sheet1!$E$1</c:f>
              <c:strCache>
                <c:ptCount val="1"/>
                <c:pt idx="0">
                  <c:v>Stevens</c:v>
                </c:pt>
              </c:strCache>
            </c:strRef>
          </c:tx>
          <c:invertIfNegative val="0"/>
          <c:dLbls>
            <c:dLbl>
              <c:idx val="0"/>
              <c:layout>
                <c:manualLayout>
                  <c:x val="1.0416666666666666E-2"/>
                  <c:y val="-4.93827160493827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5.486968449931414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Sheet1!$E$2:$E$4</c:f>
              <c:numCache>
                <c:formatCode>General</c:formatCode>
                <c:ptCount val="3"/>
                <c:pt idx="0">
                  <c:v>89.5</c:v>
                </c:pt>
                <c:pt idx="1">
                  <c:v>89.8</c:v>
                </c:pt>
                <c:pt idx="2">
                  <c:v>92.9</c:v>
                </c:pt>
              </c:numCache>
            </c:numRef>
          </c:val>
        </c:ser>
        <c:ser>
          <c:idx val="4"/>
          <c:order val="4"/>
          <c:tx>
            <c:strRef>
              <c:f>Sheet1!$F$1</c:f>
              <c:strCache>
                <c:ptCount val="1"/>
                <c:pt idx="0">
                  <c:v>Traverse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Sheet1!$F$2:$F$4</c:f>
              <c:numCache>
                <c:formatCode>General</c:formatCode>
                <c:ptCount val="3"/>
                <c:pt idx="0">
                  <c:v>0</c:v>
                </c:pt>
                <c:pt idx="1">
                  <c:v>0</c:v>
                </c:pt>
                <c:pt idx="2">
                  <c:v>92.1</c:v>
                </c:pt>
              </c:numCache>
            </c:numRef>
          </c:val>
        </c:ser>
        <c:ser>
          <c:idx val="5"/>
          <c:order val="5"/>
          <c:tx>
            <c:strRef>
              <c:f>Sheet1!$G$1</c:f>
              <c:strCache>
                <c:ptCount val="1"/>
                <c:pt idx="0">
                  <c:v>CHB</c:v>
                </c:pt>
              </c:strCache>
            </c:strRef>
          </c:tx>
          <c:invertIfNegative val="0"/>
          <c:dLbls>
            <c:dLbl>
              <c:idx val="1"/>
              <c:layout>
                <c:manualLayout>
                  <c:x val="0"/>
                  <c:y val="-3.29218106995885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Sheet1!$G$2:$G$4</c:f>
              <c:numCache>
                <c:formatCode>General</c:formatCode>
                <c:ptCount val="3"/>
                <c:pt idx="0">
                  <c:v>0</c:v>
                </c:pt>
                <c:pt idx="1">
                  <c:v>79.099999999999994</c:v>
                </c:pt>
                <c:pt idx="2">
                  <c:v>85.3</c:v>
                </c:pt>
              </c:numCache>
            </c:numRef>
          </c:val>
        </c:ser>
        <c:ser>
          <c:idx val="6"/>
          <c:order val="6"/>
          <c:tx>
            <c:strRef>
              <c:f>Sheet1!$H$1</c:f>
              <c:strCache>
                <c:ptCount val="1"/>
                <c:pt idx="0">
                  <c:v>Minnesota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2010-2011</c:v>
                </c:pt>
                <c:pt idx="1">
                  <c:v>2011-2012</c:v>
                </c:pt>
                <c:pt idx="2">
                  <c:v>2012-2013</c:v>
                </c:pt>
              </c:strCache>
            </c:strRef>
          </c:cat>
          <c:val>
            <c:numRef>
              <c:f>Sheet1!$H$2:$H$4</c:f>
              <c:numCache>
                <c:formatCode>General</c:formatCode>
                <c:ptCount val="3"/>
                <c:pt idx="0">
                  <c:v>76.8</c:v>
                </c:pt>
                <c:pt idx="1">
                  <c:v>77.599999999999994</c:v>
                </c:pt>
                <c:pt idx="2">
                  <c:v>78.400000000000006</c:v>
                </c:pt>
              </c:numCache>
            </c:numRef>
          </c:val>
        </c:ser>
        <c:dLbls>
          <c:showLegendKey val="0"/>
          <c:showVal val="0"/>
          <c:showCatName val="0"/>
          <c:showSerName val="0"/>
          <c:showPercent val="0"/>
          <c:showBubbleSize val="0"/>
        </c:dLbls>
        <c:gapWidth val="150"/>
        <c:axId val="320662224"/>
        <c:axId val="320662616"/>
      </c:barChart>
      <c:catAx>
        <c:axId val="320662224"/>
        <c:scaling>
          <c:orientation val="minMax"/>
        </c:scaling>
        <c:delete val="0"/>
        <c:axPos val="b"/>
        <c:numFmt formatCode="General" sourceLinked="0"/>
        <c:majorTickMark val="out"/>
        <c:minorTickMark val="none"/>
        <c:tickLblPos val="nextTo"/>
        <c:crossAx val="320662616"/>
        <c:crosses val="autoZero"/>
        <c:auto val="1"/>
        <c:lblAlgn val="ctr"/>
        <c:lblOffset val="100"/>
        <c:noMultiLvlLbl val="0"/>
      </c:catAx>
      <c:valAx>
        <c:axId val="320662616"/>
        <c:scaling>
          <c:orientation val="minMax"/>
        </c:scaling>
        <c:delete val="0"/>
        <c:axPos val="l"/>
        <c:majorGridlines/>
        <c:numFmt formatCode="General" sourceLinked="1"/>
        <c:majorTickMark val="out"/>
        <c:minorTickMark val="none"/>
        <c:tickLblPos val="nextTo"/>
        <c:crossAx val="3206622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Douglas</c:v>
                </c:pt>
              </c:strCache>
            </c:strRef>
          </c:tx>
          <c:cat>
            <c:strRef>
              <c:f>Sheet1!$A$2:$A$5</c:f>
              <c:strCache>
                <c:ptCount val="4"/>
                <c:pt idx="0">
                  <c:v>2010-2011</c:v>
                </c:pt>
                <c:pt idx="1">
                  <c:v>2011-2012</c:v>
                </c:pt>
                <c:pt idx="2">
                  <c:v>2012-2013</c:v>
                </c:pt>
                <c:pt idx="3">
                  <c:v>2013-2014</c:v>
                </c:pt>
              </c:strCache>
            </c:strRef>
          </c:cat>
          <c:val>
            <c:numRef>
              <c:f>Sheet1!$B$2:$B$5</c:f>
              <c:numCache>
                <c:formatCode>General</c:formatCode>
                <c:ptCount val="4"/>
                <c:pt idx="0">
                  <c:v>16.8</c:v>
                </c:pt>
                <c:pt idx="1">
                  <c:v>17</c:v>
                </c:pt>
                <c:pt idx="2">
                  <c:v>16.8</c:v>
                </c:pt>
                <c:pt idx="3">
                  <c:v>17.100000000000001</c:v>
                </c:pt>
              </c:numCache>
            </c:numRef>
          </c:val>
          <c:smooth val="0"/>
        </c:ser>
        <c:ser>
          <c:idx val="1"/>
          <c:order val="1"/>
          <c:tx>
            <c:strRef>
              <c:f>Sheet1!$C$1</c:f>
              <c:strCache>
                <c:ptCount val="1"/>
                <c:pt idx="0">
                  <c:v>Grant </c:v>
                </c:pt>
              </c:strCache>
            </c:strRef>
          </c:tx>
          <c:cat>
            <c:strRef>
              <c:f>Sheet1!$A$2:$A$5</c:f>
              <c:strCache>
                <c:ptCount val="4"/>
                <c:pt idx="0">
                  <c:v>2010-2011</c:v>
                </c:pt>
                <c:pt idx="1">
                  <c:v>2011-2012</c:v>
                </c:pt>
                <c:pt idx="2">
                  <c:v>2012-2013</c:v>
                </c:pt>
                <c:pt idx="3">
                  <c:v>2013-2014</c:v>
                </c:pt>
              </c:strCache>
            </c:strRef>
          </c:cat>
          <c:val>
            <c:numRef>
              <c:f>Sheet1!$C$2:$C$5</c:f>
              <c:numCache>
                <c:formatCode>General</c:formatCode>
                <c:ptCount val="4"/>
                <c:pt idx="0">
                  <c:v>14.5</c:v>
                </c:pt>
                <c:pt idx="1">
                  <c:v>13.5</c:v>
                </c:pt>
                <c:pt idx="2">
                  <c:v>13.9</c:v>
                </c:pt>
                <c:pt idx="3">
                  <c:v>12.5</c:v>
                </c:pt>
              </c:numCache>
            </c:numRef>
          </c:val>
          <c:smooth val="0"/>
        </c:ser>
        <c:ser>
          <c:idx val="2"/>
          <c:order val="2"/>
          <c:tx>
            <c:strRef>
              <c:f>Sheet1!$D$1</c:f>
              <c:strCache>
                <c:ptCount val="1"/>
                <c:pt idx="0">
                  <c:v>Pope</c:v>
                </c:pt>
              </c:strCache>
            </c:strRef>
          </c:tx>
          <c:cat>
            <c:strRef>
              <c:f>Sheet1!$A$2:$A$5</c:f>
              <c:strCache>
                <c:ptCount val="4"/>
                <c:pt idx="0">
                  <c:v>2010-2011</c:v>
                </c:pt>
                <c:pt idx="1">
                  <c:v>2011-2012</c:v>
                </c:pt>
                <c:pt idx="2">
                  <c:v>2012-2013</c:v>
                </c:pt>
                <c:pt idx="3">
                  <c:v>2013-2014</c:v>
                </c:pt>
              </c:strCache>
            </c:strRef>
          </c:cat>
          <c:val>
            <c:numRef>
              <c:f>Sheet1!$D$2:$D$5</c:f>
              <c:numCache>
                <c:formatCode>General</c:formatCode>
                <c:ptCount val="4"/>
                <c:pt idx="0">
                  <c:v>24</c:v>
                </c:pt>
                <c:pt idx="1">
                  <c:v>23.2</c:v>
                </c:pt>
                <c:pt idx="2">
                  <c:v>22.2</c:v>
                </c:pt>
                <c:pt idx="3">
                  <c:v>22.7</c:v>
                </c:pt>
              </c:numCache>
            </c:numRef>
          </c:val>
          <c:smooth val="0"/>
        </c:ser>
        <c:ser>
          <c:idx val="3"/>
          <c:order val="3"/>
          <c:tx>
            <c:strRef>
              <c:f>Sheet1!$E$1</c:f>
              <c:strCache>
                <c:ptCount val="1"/>
                <c:pt idx="0">
                  <c:v>Stevens</c:v>
                </c:pt>
              </c:strCache>
            </c:strRef>
          </c:tx>
          <c:cat>
            <c:strRef>
              <c:f>Sheet1!$A$2:$A$5</c:f>
              <c:strCache>
                <c:ptCount val="4"/>
                <c:pt idx="0">
                  <c:v>2010-2011</c:v>
                </c:pt>
                <c:pt idx="1">
                  <c:v>2011-2012</c:v>
                </c:pt>
                <c:pt idx="2">
                  <c:v>2012-2013</c:v>
                </c:pt>
                <c:pt idx="3">
                  <c:v>2013-2014</c:v>
                </c:pt>
              </c:strCache>
            </c:strRef>
          </c:cat>
          <c:val>
            <c:numRef>
              <c:f>Sheet1!$E$2:$E$5</c:f>
              <c:numCache>
                <c:formatCode>General</c:formatCode>
                <c:ptCount val="4"/>
                <c:pt idx="0">
                  <c:v>19.5</c:v>
                </c:pt>
                <c:pt idx="1">
                  <c:v>18.899999999999999</c:v>
                </c:pt>
                <c:pt idx="2">
                  <c:v>19</c:v>
                </c:pt>
                <c:pt idx="3">
                  <c:v>17.8</c:v>
                </c:pt>
              </c:numCache>
            </c:numRef>
          </c:val>
          <c:smooth val="0"/>
        </c:ser>
        <c:ser>
          <c:idx val="4"/>
          <c:order val="4"/>
          <c:tx>
            <c:strRef>
              <c:f>Sheet1!$F$1</c:f>
              <c:strCache>
                <c:ptCount val="1"/>
                <c:pt idx="0">
                  <c:v>Traverse</c:v>
                </c:pt>
              </c:strCache>
            </c:strRef>
          </c:tx>
          <c:cat>
            <c:strRef>
              <c:f>Sheet1!$A$2:$A$5</c:f>
              <c:strCache>
                <c:ptCount val="4"/>
                <c:pt idx="0">
                  <c:v>2010-2011</c:v>
                </c:pt>
                <c:pt idx="1">
                  <c:v>2011-2012</c:v>
                </c:pt>
                <c:pt idx="2">
                  <c:v>2012-2013</c:v>
                </c:pt>
                <c:pt idx="3">
                  <c:v>2013-2014</c:v>
                </c:pt>
              </c:strCache>
            </c:strRef>
          </c:cat>
          <c:val>
            <c:numRef>
              <c:f>Sheet1!$F$2:$F$5</c:f>
              <c:numCache>
                <c:formatCode>General</c:formatCode>
                <c:ptCount val="4"/>
                <c:pt idx="0">
                  <c:v>13</c:v>
                </c:pt>
                <c:pt idx="1">
                  <c:v>14.4</c:v>
                </c:pt>
                <c:pt idx="2">
                  <c:v>17</c:v>
                </c:pt>
                <c:pt idx="3">
                  <c:v>17.5</c:v>
                </c:pt>
              </c:numCache>
            </c:numRef>
          </c:val>
          <c:smooth val="0"/>
        </c:ser>
        <c:ser>
          <c:idx val="5"/>
          <c:order val="5"/>
          <c:tx>
            <c:strRef>
              <c:f>Sheet1!$G$1</c:f>
              <c:strCache>
                <c:ptCount val="1"/>
                <c:pt idx="0">
                  <c:v>CHB</c:v>
                </c:pt>
              </c:strCache>
            </c:strRef>
          </c:tx>
          <c:cat>
            <c:strRef>
              <c:f>Sheet1!$A$2:$A$5</c:f>
              <c:strCache>
                <c:ptCount val="4"/>
                <c:pt idx="0">
                  <c:v>2010-2011</c:v>
                </c:pt>
                <c:pt idx="1">
                  <c:v>2011-2012</c:v>
                </c:pt>
                <c:pt idx="2">
                  <c:v>2012-2013</c:v>
                </c:pt>
                <c:pt idx="3">
                  <c:v>2013-2014</c:v>
                </c:pt>
              </c:strCache>
            </c:strRef>
          </c:cat>
          <c:val>
            <c:numRef>
              <c:f>Sheet1!$G$2:$G$5</c:f>
              <c:numCache>
                <c:formatCode>General</c:formatCode>
                <c:ptCount val="4"/>
                <c:pt idx="0">
                  <c:v>17.7</c:v>
                </c:pt>
                <c:pt idx="1">
                  <c:v>17.5</c:v>
                </c:pt>
                <c:pt idx="2">
                  <c:v>17.5</c:v>
                </c:pt>
                <c:pt idx="3">
                  <c:v>17.5</c:v>
                </c:pt>
              </c:numCache>
            </c:numRef>
          </c:val>
          <c:smooth val="0"/>
        </c:ser>
        <c:ser>
          <c:idx val="6"/>
          <c:order val="6"/>
          <c:tx>
            <c:strRef>
              <c:f>Sheet1!$H$1</c:f>
              <c:strCache>
                <c:ptCount val="1"/>
                <c:pt idx="0">
                  <c:v>State of MN</c:v>
                </c:pt>
              </c:strCache>
            </c:strRef>
          </c:tx>
          <c:cat>
            <c:strRef>
              <c:f>Sheet1!$A$2:$A$5</c:f>
              <c:strCache>
                <c:ptCount val="4"/>
                <c:pt idx="0">
                  <c:v>2010-2011</c:v>
                </c:pt>
                <c:pt idx="1">
                  <c:v>2011-2012</c:v>
                </c:pt>
                <c:pt idx="2">
                  <c:v>2012-2013</c:v>
                </c:pt>
                <c:pt idx="3">
                  <c:v>2013-2014</c:v>
                </c:pt>
              </c:strCache>
            </c:strRef>
          </c:cat>
          <c:val>
            <c:numRef>
              <c:f>Sheet1!$H$2:$H$5</c:f>
              <c:numCache>
                <c:formatCode>General</c:formatCode>
                <c:ptCount val="4"/>
                <c:pt idx="0">
                  <c:v>14.8</c:v>
                </c:pt>
                <c:pt idx="1">
                  <c:v>14.9</c:v>
                </c:pt>
                <c:pt idx="2">
                  <c:v>14.9</c:v>
                </c:pt>
                <c:pt idx="3">
                  <c:v>14.9</c:v>
                </c:pt>
              </c:numCache>
            </c:numRef>
          </c:val>
          <c:smooth val="0"/>
        </c:ser>
        <c:dLbls>
          <c:showLegendKey val="0"/>
          <c:showVal val="0"/>
          <c:showCatName val="0"/>
          <c:showSerName val="0"/>
          <c:showPercent val="0"/>
          <c:showBubbleSize val="0"/>
        </c:dLbls>
        <c:marker val="1"/>
        <c:smooth val="0"/>
        <c:axId val="320663400"/>
        <c:axId val="320663792"/>
      </c:lineChart>
      <c:catAx>
        <c:axId val="320663400"/>
        <c:scaling>
          <c:orientation val="minMax"/>
        </c:scaling>
        <c:delete val="0"/>
        <c:axPos val="b"/>
        <c:numFmt formatCode="General" sourceLinked="0"/>
        <c:majorTickMark val="out"/>
        <c:minorTickMark val="none"/>
        <c:tickLblPos val="nextTo"/>
        <c:crossAx val="320663792"/>
        <c:crosses val="autoZero"/>
        <c:auto val="1"/>
        <c:lblAlgn val="ctr"/>
        <c:lblOffset val="100"/>
        <c:noMultiLvlLbl val="0"/>
      </c:catAx>
      <c:valAx>
        <c:axId val="320663792"/>
        <c:scaling>
          <c:orientation val="minMax"/>
        </c:scaling>
        <c:delete val="0"/>
        <c:axPos val="l"/>
        <c:majorGridlines/>
        <c:numFmt formatCode="General" sourceLinked="1"/>
        <c:majorTickMark val="out"/>
        <c:minorTickMark val="none"/>
        <c:tickLblPos val="nextTo"/>
        <c:crossAx val="320663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Douglas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Sheet1!$B$2</c:f>
              <c:numCache>
                <c:formatCode>General</c:formatCode>
                <c:ptCount val="1"/>
                <c:pt idx="0">
                  <c:v>3.6</c:v>
                </c:pt>
              </c:numCache>
            </c:numRef>
          </c:val>
        </c:ser>
        <c:ser>
          <c:idx val="1"/>
          <c:order val="1"/>
          <c:tx>
            <c:strRef>
              <c:f>Sheet1!$C$1</c:f>
              <c:strCache>
                <c:ptCount val="1"/>
                <c:pt idx="0">
                  <c:v>Grant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Sheet1!$C$2</c:f>
              <c:numCache>
                <c:formatCode>General</c:formatCode>
                <c:ptCount val="1"/>
                <c:pt idx="0">
                  <c:v>4.9000000000000004</c:v>
                </c:pt>
              </c:numCache>
            </c:numRef>
          </c:val>
        </c:ser>
        <c:ser>
          <c:idx val="2"/>
          <c:order val="2"/>
          <c:tx>
            <c:strRef>
              <c:f>Sheet1!$D$1</c:f>
              <c:strCache>
                <c:ptCount val="1"/>
                <c:pt idx="0">
                  <c:v>Pope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Sheet1!$D$2</c:f>
              <c:numCache>
                <c:formatCode>General</c:formatCode>
                <c:ptCount val="1"/>
                <c:pt idx="0">
                  <c:v>3.6</c:v>
                </c:pt>
              </c:numCache>
            </c:numRef>
          </c:val>
        </c:ser>
        <c:ser>
          <c:idx val="3"/>
          <c:order val="3"/>
          <c:tx>
            <c:strRef>
              <c:f>Sheet1!$E$1</c:f>
              <c:strCache>
                <c:ptCount val="1"/>
                <c:pt idx="0">
                  <c:v>Stevens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Sheet1!$E$2</c:f>
              <c:numCache>
                <c:formatCode>General</c:formatCode>
                <c:ptCount val="1"/>
                <c:pt idx="0">
                  <c:v>3.2</c:v>
                </c:pt>
              </c:numCache>
            </c:numRef>
          </c:val>
        </c:ser>
        <c:ser>
          <c:idx val="4"/>
          <c:order val="4"/>
          <c:tx>
            <c:strRef>
              <c:f>Sheet1!$F$1</c:f>
              <c:strCache>
                <c:ptCount val="1"/>
                <c:pt idx="0">
                  <c:v>Traverse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Sheet1!$F$2</c:f>
              <c:numCache>
                <c:formatCode>General</c:formatCode>
                <c:ptCount val="1"/>
                <c:pt idx="0">
                  <c:v>4.7</c:v>
                </c:pt>
              </c:numCache>
            </c:numRef>
          </c:val>
        </c:ser>
        <c:ser>
          <c:idx val="5"/>
          <c:order val="5"/>
          <c:tx>
            <c:strRef>
              <c:f>Sheet1!$G$1</c:f>
              <c:strCache>
                <c:ptCount val="1"/>
                <c:pt idx="0">
                  <c:v>State of MN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c:f>
              <c:strCache>
                <c:ptCount val="1"/>
                <c:pt idx="0">
                  <c:v>Percent</c:v>
                </c:pt>
              </c:strCache>
            </c:strRef>
          </c:cat>
          <c:val>
            <c:numRef>
              <c:f>Sheet1!$G$2</c:f>
              <c:numCache>
                <c:formatCode>General</c:formatCode>
                <c:ptCount val="1"/>
                <c:pt idx="0">
                  <c:v>4.0999999999999996</c:v>
                </c:pt>
              </c:numCache>
            </c:numRef>
          </c:val>
        </c:ser>
        <c:dLbls>
          <c:showLegendKey val="0"/>
          <c:showVal val="0"/>
          <c:showCatName val="0"/>
          <c:showSerName val="0"/>
          <c:showPercent val="0"/>
          <c:showBubbleSize val="0"/>
        </c:dLbls>
        <c:gapWidth val="150"/>
        <c:axId val="320664576"/>
        <c:axId val="320664968"/>
      </c:barChart>
      <c:catAx>
        <c:axId val="320664576"/>
        <c:scaling>
          <c:orientation val="minMax"/>
        </c:scaling>
        <c:delete val="0"/>
        <c:axPos val="b"/>
        <c:numFmt formatCode="General" sourceLinked="0"/>
        <c:majorTickMark val="out"/>
        <c:minorTickMark val="none"/>
        <c:tickLblPos val="nextTo"/>
        <c:crossAx val="320664968"/>
        <c:crosses val="autoZero"/>
        <c:auto val="1"/>
        <c:lblAlgn val="ctr"/>
        <c:lblOffset val="100"/>
        <c:noMultiLvlLbl val="0"/>
      </c:catAx>
      <c:valAx>
        <c:axId val="320664968"/>
        <c:scaling>
          <c:orientation val="minMax"/>
        </c:scaling>
        <c:delete val="0"/>
        <c:axPos val="l"/>
        <c:majorGridlines/>
        <c:numFmt formatCode="General" sourceLinked="1"/>
        <c:majorTickMark val="out"/>
        <c:minorTickMark val="none"/>
        <c:tickLblPos val="nextTo"/>
        <c:crossAx val="320664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2009</c:v>
                </c:pt>
              </c:strCache>
            </c:strRef>
          </c:tx>
          <c:invertIfNegative val="0"/>
          <c:cat>
            <c:strRef>
              <c:f>Sheet1!$A$2:$A$7</c:f>
              <c:strCache>
                <c:ptCount val="6"/>
                <c:pt idx="0">
                  <c:v>Douglas</c:v>
                </c:pt>
                <c:pt idx="1">
                  <c:v>Grant</c:v>
                </c:pt>
                <c:pt idx="2">
                  <c:v>Pope</c:v>
                </c:pt>
                <c:pt idx="3">
                  <c:v>Stevens</c:v>
                </c:pt>
                <c:pt idx="4">
                  <c:v>Traverse</c:v>
                </c:pt>
                <c:pt idx="5">
                  <c:v>State of MN</c:v>
                </c:pt>
              </c:strCache>
            </c:strRef>
          </c:cat>
          <c:val>
            <c:numRef>
              <c:f>Sheet1!$B$2:$B$7</c:f>
              <c:numCache>
                <c:formatCode>"$"#,##0_);[Red]\("$"#,##0\)</c:formatCode>
                <c:ptCount val="6"/>
                <c:pt idx="0">
                  <c:v>47596</c:v>
                </c:pt>
                <c:pt idx="1">
                  <c:v>47713</c:v>
                </c:pt>
                <c:pt idx="2">
                  <c:v>53038</c:v>
                </c:pt>
                <c:pt idx="3">
                  <c:v>58516</c:v>
                </c:pt>
                <c:pt idx="4">
                  <c:v>42771</c:v>
                </c:pt>
                <c:pt idx="5">
                  <c:v>60397</c:v>
                </c:pt>
              </c:numCache>
            </c:numRef>
          </c:val>
        </c:ser>
        <c:ser>
          <c:idx val="1"/>
          <c:order val="1"/>
          <c:tx>
            <c:strRef>
              <c:f>Sheet1!$C$1</c:f>
              <c:strCache>
                <c:ptCount val="1"/>
                <c:pt idx="0">
                  <c:v>2010</c:v>
                </c:pt>
              </c:strCache>
            </c:strRef>
          </c:tx>
          <c:invertIfNegative val="0"/>
          <c:cat>
            <c:strRef>
              <c:f>Sheet1!$A$2:$A$7</c:f>
              <c:strCache>
                <c:ptCount val="6"/>
                <c:pt idx="0">
                  <c:v>Douglas</c:v>
                </c:pt>
                <c:pt idx="1">
                  <c:v>Grant</c:v>
                </c:pt>
                <c:pt idx="2">
                  <c:v>Pope</c:v>
                </c:pt>
                <c:pt idx="3">
                  <c:v>Stevens</c:v>
                </c:pt>
                <c:pt idx="4">
                  <c:v>Traverse</c:v>
                </c:pt>
                <c:pt idx="5">
                  <c:v>State of MN</c:v>
                </c:pt>
              </c:strCache>
            </c:strRef>
          </c:cat>
          <c:val>
            <c:numRef>
              <c:f>Sheet1!$C$2:$C$7</c:f>
              <c:numCache>
                <c:formatCode>General</c:formatCode>
                <c:ptCount val="6"/>
                <c:pt idx="0">
                  <c:v>51744</c:v>
                </c:pt>
                <c:pt idx="1">
                  <c:v>47048</c:v>
                </c:pt>
                <c:pt idx="2">
                  <c:v>48234</c:v>
                </c:pt>
                <c:pt idx="3">
                  <c:v>52226</c:v>
                </c:pt>
                <c:pt idx="4">
                  <c:v>44513</c:v>
                </c:pt>
                <c:pt idx="5">
                  <c:v>59209</c:v>
                </c:pt>
              </c:numCache>
            </c:numRef>
          </c:val>
        </c:ser>
        <c:ser>
          <c:idx val="2"/>
          <c:order val="2"/>
          <c:tx>
            <c:strRef>
              <c:f>Sheet1!$D$1</c:f>
              <c:strCache>
                <c:ptCount val="1"/>
                <c:pt idx="0">
                  <c:v>2011</c:v>
                </c:pt>
              </c:strCache>
            </c:strRef>
          </c:tx>
          <c:invertIfNegative val="0"/>
          <c:cat>
            <c:strRef>
              <c:f>Sheet1!$A$2:$A$7</c:f>
              <c:strCache>
                <c:ptCount val="6"/>
                <c:pt idx="0">
                  <c:v>Douglas</c:v>
                </c:pt>
                <c:pt idx="1">
                  <c:v>Grant</c:v>
                </c:pt>
                <c:pt idx="2">
                  <c:v>Pope</c:v>
                </c:pt>
                <c:pt idx="3">
                  <c:v>Stevens</c:v>
                </c:pt>
                <c:pt idx="4">
                  <c:v>Traverse</c:v>
                </c:pt>
                <c:pt idx="5">
                  <c:v>State of MN</c:v>
                </c:pt>
              </c:strCache>
            </c:strRef>
          </c:cat>
          <c:val>
            <c:numRef>
              <c:f>Sheet1!$D$2:$D$7</c:f>
              <c:numCache>
                <c:formatCode>General</c:formatCode>
                <c:ptCount val="6"/>
                <c:pt idx="0">
                  <c:v>50913</c:v>
                </c:pt>
                <c:pt idx="1">
                  <c:v>45273</c:v>
                </c:pt>
                <c:pt idx="2">
                  <c:v>48846</c:v>
                </c:pt>
                <c:pt idx="3">
                  <c:v>48563</c:v>
                </c:pt>
                <c:pt idx="4">
                  <c:v>47448</c:v>
                </c:pt>
                <c:pt idx="5">
                  <c:v>58974</c:v>
                </c:pt>
              </c:numCache>
            </c:numRef>
          </c:val>
        </c:ser>
        <c:ser>
          <c:idx val="3"/>
          <c:order val="3"/>
          <c:tx>
            <c:strRef>
              <c:f>Sheet1!$E$1</c:f>
              <c:strCache>
                <c:ptCount val="1"/>
                <c:pt idx="0">
                  <c:v>2012</c:v>
                </c:pt>
              </c:strCache>
            </c:strRef>
          </c:tx>
          <c:invertIfNegative val="0"/>
          <c:cat>
            <c:strRef>
              <c:f>Sheet1!$A$2:$A$7</c:f>
              <c:strCache>
                <c:ptCount val="6"/>
                <c:pt idx="0">
                  <c:v>Douglas</c:v>
                </c:pt>
                <c:pt idx="1">
                  <c:v>Grant</c:v>
                </c:pt>
                <c:pt idx="2">
                  <c:v>Pope</c:v>
                </c:pt>
                <c:pt idx="3">
                  <c:v>Stevens</c:v>
                </c:pt>
                <c:pt idx="4">
                  <c:v>Traverse</c:v>
                </c:pt>
                <c:pt idx="5">
                  <c:v>State of MN</c:v>
                </c:pt>
              </c:strCache>
            </c:strRef>
          </c:cat>
          <c:val>
            <c:numRef>
              <c:f>Sheet1!$E$2:$E$7</c:f>
              <c:numCache>
                <c:formatCode>General</c:formatCode>
                <c:ptCount val="6"/>
                <c:pt idx="0">
                  <c:v>53874</c:v>
                </c:pt>
                <c:pt idx="1">
                  <c:v>48313</c:v>
                </c:pt>
                <c:pt idx="2">
                  <c:v>51435</c:v>
                </c:pt>
                <c:pt idx="3">
                  <c:v>51577</c:v>
                </c:pt>
                <c:pt idx="4">
                  <c:v>46579</c:v>
                </c:pt>
                <c:pt idx="5">
                  <c:v>59690</c:v>
                </c:pt>
              </c:numCache>
            </c:numRef>
          </c:val>
        </c:ser>
        <c:ser>
          <c:idx val="4"/>
          <c:order val="4"/>
          <c:tx>
            <c:strRef>
              <c:f>Sheet1!$F$1</c:f>
              <c:strCache>
                <c:ptCount val="1"/>
                <c:pt idx="0">
                  <c:v>2013</c:v>
                </c:pt>
              </c:strCache>
            </c:strRef>
          </c:tx>
          <c:invertIfNegative val="0"/>
          <c:cat>
            <c:strRef>
              <c:f>Sheet1!$A$2:$A$7</c:f>
              <c:strCache>
                <c:ptCount val="6"/>
                <c:pt idx="0">
                  <c:v>Douglas</c:v>
                </c:pt>
                <c:pt idx="1">
                  <c:v>Grant</c:v>
                </c:pt>
                <c:pt idx="2">
                  <c:v>Pope</c:v>
                </c:pt>
                <c:pt idx="3">
                  <c:v>Stevens</c:v>
                </c:pt>
                <c:pt idx="4">
                  <c:v>Traverse</c:v>
                </c:pt>
                <c:pt idx="5">
                  <c:v>State of MN</c:v>
                </c:pt>
              </c:strCache>
            </c:strRef>
          </c:cat>
          <c:val>
            <c:numRef>
              <c:f>Sheet1!$F$2:$F$7</c:f>
              <c:numCache>
                <c:formatCode>General</c:formatCode>
                <c:ptCount val="6"/>
                <c:pt idx="0">
                  <c:v>52122</c:v>
                </c:pt>
                <c:pt idx="1">
                  <c:v>49618</c:v>
                </c:pt>
                <c:pt idx="2">
                  <c:v>55404</c:v>
                </c:pt>
                <c:pt idx="3">
                  <c:v>56140</c:v>
                </c:pt>
                <c:pt idx="4">
                  <c:v>50451</c:v>
                </c:pt>
                <c:pt idx="5">
                  <c:v>60664</c:v>
                </c:pt>
              </c:numCache>
            </c:numRef>
          </c:val>
        </c:ser>
        <c:dLbls>
          <c:showLegendKey val="0"/>
          <c:showVal val="0"/>
          <c:showCatName val="0"/>
          <c:showSerName val="0"/>
          <c:showPercent val="0"/>
          <c:showBubbleSize val="0"/>
        </c:dLbls>
        <c:gapWidth val="150"/>
        <c:axId val="320665752"/>
        <c:axId val="321108600"/>
      </c:barChart>
      <c:catAx>
        <c:axId val="320665752"/>
        <c:scaling>
          <c:orientation val="minMax"/>
        </c:scaling>
        <c:delete val="0"/>
        <c:axPos val="b"/>
        <c:numFmt formatCode="General" sourceLinked="0"/>
        <c:majorTickMark val="out"/>
        <c:minorTickMark val="none"/>
        <c:tickLblPos val="nextTo"/>
        <c:crossAx val="321108600"/>
        <c:crosses val="autoZero"/>
        <c:auto val="1"/>
        <c:lblAlgn val="ctr"/>
        <c:lblOffset val="100"/>
        <c:noMultiLvlLbl val="0"/>
      </c:catAx>
      <c:valAx>
        <c:axId val="321108600"/>
        <c:scaling>
          <c:orientation val="minMax"/>
        </c:scaling>
        <c:delete val="0"/>
        <c:axPos val="l"/>
        <c:majorGridlines/>
        <c:numFmt formatCode="&quot;$&quot;#,##0_);[Red]\(&quot;$&quot;#,##0\)" sourceLinked="1"/>
        <c:majorTickMark val="out"/>
        <c:minorTickMark val="none"/>
        <c:tickLblPos val="nextTo"/>
        <c:crossAx val="320665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66861400389468"/>
          <c:y val="5.5031076505771354E-2"/>
          <c:w val="0.85867547201761074"/>
          <c:h val="0.84558030617919977"/>
        </c:manualLayout>
      </c:layout>
      <c:lineChart>
        <c:grouping val="standard"/>
        <c:varyColors val="0"/>
        <c:ser>
          <c:idx val="0"/>
          <c:order val="0"/>
          <c:tx>
            <c:v>Minnesota</c:v>
          </c:tx>
          <c:spPr>
            <a:ln w="41275"/>
          </c:spPr>
          <c:marker>
            <c:symbol val="none"/>
          </c:marker>
          <c:cat>
            <c:numRef>
              <c:f>Sheet1!$H$42:$L$42</c:f>
              <c:numCache>
                <c:formatCode>General</c:formatCode>
                <c:ptCount val="5"/>
                <c:pt idx="0">
                  <c:v>2006</c:v>
                </c:pt>
                <c:pt idx="1">
                  <c:v>2007</c:v>
                </c:pt>
                <c:pt idx="2">
                  <c:v>2008</c:v>
                </c:pt>
                <c:pt idx="3">
                  <c:v>2009</c:v>
                </c:pt>
                <c:pt idx="4">
                  <c:v>2010</c:v>
                </c:pt>
              </c:numCache>
            </c:numRef>
          </c:cat>
          <c:val>
            <c:numRef>
              <c:f>Sheet1!$H$63:$L$63</c:f>
              <c:numCache>
                <c:formatCode>#,##0.0</c:formatCode>
                <c:ptCount val="5"/>
                <c:pt idx="0">
                  <c:v>11.6</c:v>
                </c:pt>
                <c:pt idx="1">
                  <c:v>12</c:v>
                </c:pt>
                <c:pt idx="2">
                  <c:v>11.9</c:v>
                </c:pt>
                <c:pt idx="3">
                  <c:v>11.4</c:v>
                </c:pt>
                <c:pt idx="4">
                  <c:v>13.9</c:v>
                </c:pt>
              </c:numCache>
            </c:numRef>
          </c:val>
          <c:smooth val="0"/>
        </c:ser>
        <c:ser>
          <c:idx val="1"/>
          <c:order val="1"/>
          <c:tx>
            <c:v>Horizons</c:v>
          </c:tx>
          <c:marker>
            <c:symbol val="none"/>
          </c:marker>
          <c:cat>
            <c:numRef>
              <c:f>Sheet1!$H$42:$L$42</c:f>
              <c:numCache>
                <c:formatCode>General</c:formatCode>
                <c:ptCount val="5"/>
                <c:pt idx="0">
                  <c:v>2006</c:v>
                </c:pt>
                <c:pt idx="1">
                  <c:v>2007</c:v>
                </c:pt>
                <c:pt idx="2">
                  <c:v>2008</c:v>
                </c:pt>
                <c:pt idx="3">
                  <c:v>2009</c:v>
                </c:pt>
                <c:pt idx="4">
                  <c:v>2010</c:v>
                </c:pt>
              </c:numCache>
            </c:numRef>
          </c:cat>
          <c:val>
            <c:numRef>
              <c:f>Sheet1!$H$64:$L$64</c:f>
              <c:numCache>
                <c:formatCode>0.0</c:formatCode>
                <c:ptCount val="5"/>
                <c:pt idx="0">
                  <c:v>12.118947997609085</c:v>
                </c:pt>
                <c:pt idx="1">
                  <c:v>11.634142708178162</c:v>
                </c:pt>
                <c:pt idx="2">
                  <c:v>13.04958250203207</c:v>
                </c:pt>
                <c:pt idx="3">
                  <c:v>11.438422906828574</c:v>
                </c:pt>
                <c:pt idx="4">
                  <c:v>12.756428777809882</c:v>
                </c:pt>
              </c:numCache>
            </c:numRef>
          </c:val>
          <c:smooth val="0"/>
        </c:ser>
        <c:ser>
          <c:idx val="2"/>
          <c:order val="2"/>
          <c:tx>
            <c:v>Douglas</c:v>
          </c:tx>
          <c:marker>
            <c:symbol val="none"/>
          </c:marker>
          <c:cat>
            <c:numRef>
              <c:f>Sheet1!$H$42:$L$42</c:f>
              <c:numCache>
                <c:formatCode>General</c:formatCode>
                <c:ptCount val="5"/>
                <c:pt idx="0">
                  <c:v>2006</c:v>
                </c:pt>
                <c:pt idx="1">
                  <c:v>2007</c:v>
                </c:pt>
                <c:pt idx="2">
                  <c:v>2008</c:v>
                </c:pt>
                <c:pt idx="3">
                  <c:v>2009</c:v>
                </c:pt>
                <c:pt idx="4">
                  <c:v>2010</c:v>
                </c:pt>
              </c:numCache>
            </c:numRef>
          </c:cat>
          <c:val>
            <c:numRef>
              <c:f>Sheet1!$H$65:$L$65</c:f>
              <c:numCache>
                <c:formatCode>0.0</c:formatCode>
                <c:ptCount val="5"/>
                <c:pt idx="0">
                  <c:v>11.5</c:v>
                </c:pt>
                <c:pt idx="1">
                  <c:v>11.2</c:v>
                </c:pt>
                <c:pt idx="2">
                  <c:v>13.6</c:v>
                </c:pt>
                <c:pt idx="3">
                  <c:v>10.7</c:v>
                </c:pt>
                <c:pt idx="4">
                  <c:v>12.7</c:v>
                </c:pt>
              </c:numCache>
            </c:numRef>
          </c:val>
          <c:smooth val="0"/>
        </c:ser>
        <c:ser>
          <c:idx val="3"/>
          <c:order val="3"/>
          <c:tx>
            <c:v>Grant</c:v>
          </c:tx>
          <c:marker>
            <c:symbol val="none"/>
          </c:marker>
          <c:cat>
            <c:numRef>
              <c:f>Sheet1!$H$42:$L$42</c:f>
              <c:numCache>
                <c:formatCode>General</c:formatCode>
                <c:ptCount val="5"/>
                <c:pt idx="0">
                  <c:v>2006</c:v>
                </c:pt>
                <c:pt idx="1">
                  <c:v>2007</c:v>
                </c:pt>
                <c:pt idx="2">
                  <c:v>2008</c:v>
                </c:pt>
                <c:pt idx="3">
                  <c:v>2009</c:v>
                </c:pt>
                <c:pt idx="4">
                  <c:v>2010</c:v>
                </c:pt>
              </c:numCache>
            </c:numRef>
          </c:cat>
          <c:val>
            <c:numRef>
              <c:f>Sheet1!$H$66:$L$66</c:f>
              <c:numCache>
                <c:formatCode>0.0</c:formatCode>
                <c:ptCount val="5"/>
                <c:pt idx="0">
                  <c:v>13.4</c:v>
                </c:pt>
                <c:pt idx="1">
                  <c:v>15</c:v>
                </c:pt>
                <c:pt idx="2">
                  <c:v>16.100000000000001</c:v>
                </c:pt>
                <c:pt idx="3">
                  <c:v>14.5</c:v>
                </c:pt>
                <c:pt idx="4">
                  <c:v>15.8</c:v>
                </c:pt>
              </c:numCache>
            </c:numRef>
          </c:val>
          <c:smooth val="0"/>
        </c:ser>
        <c:ser>
          <c:idx val="4"/>
          <c:order val="4"/>
          <c:tx>
            <c:v>Pope</c:v>
          </c:tx>
          <c:marker>
            <c:symbol val="none"/>
          </c:marker>
          <c:cat>
            <c:numRef>
              <c:f>Sheet1!$H$42:$L$42</c:f>
              <c:numCache>
                <c:formatCode>General</c:formatCode>
                <c:ptCount val="5"/>
                <c:pt idx="0">
                  <c:v>2006</c:v>
                </c:pt>
                <c:pt idx="1">
                  <c:v>2007</c:v>
                </c:pt>
                <c:pt idx="2">
                  <c:v>2008</c:v>
                </c:pt>
                <c:pt idx="3">
                  <c:v>2009</c:v>
                </c:pt>
                <c:pt idx="4">
                  <c:v>2010</c:v>
                </c:pt>
              </c:numCache>
            </c:numRef>
          </c:cat>
          <c:val>
            <c:numRef>
              <c:f>Sheet1!$H$67:$L$67</c:f>
              <c:numCache>
                <c:formatCode>0.0</c:formatCode>
                <c:ptCount val="5"/>
                <c:pt idx="0">
                  <c:v>14.6</c:v>
                </c:pt>
                <c:pt idx="1">
                  <c:v>12</c:v>
                </c:pt>
                <c:pt idx="2">
                  <c:v>12.9</c:v>
                </c:pt>
                <c:pt idx="3">
                  <c:v>13.4</c:v>
                </c:pt>
                <c:pt idx="4">
                  <c:v>13.8</c:v>
                </c:pt>
              </c:numCache>
            </c:numRef>
          </c:val>
          <c:smooth val="0"/>
        </c:ser>
        <c:ser>
          <c:idx val="5"/>
          <c:order val="5"/>
          <c:tx>
            <c:v>Stevens</c:v>
          </c:tx>
          <c:marker>
            <c:symbol val="none"/>
          </c:marker>
          <c:cat>
            <c:numRef>
              <c:f>Sheet1!$H$42:$L$42</c:f>
              <c:numCache>
                <c:formatCode>General</c:formatCode>
                <c:ptCount val="5"/>
                <c:pt idx="0">
                  <c:v>2006</c:v>
                </c:pt>
                <c:pt idx="1">
                  <c:v>2007</c:v>
                </c:pt>
                <c:pt idx="2">
                  <c:v>2008</c:v>
                </c:pt>
                <c:pt idx="3">
                  <c:v>2009</c:v>
                </c:pt>
                <c:pt idx="4">
                  <c:v>2010</c:v>
                </c:pt>
              </c:numCache>
            </c:numRef>
          </c:cat>
          <c:val>
            <c:numRef>
              <c:f>Sheet1!$H$68:$L$68</c:f>
              <c:numCache>
                <c:formatCode>0.0</c:formatCode>
                <c:ptCount val="5"/>
                <c:pt idx="0">
                  <c:v>9.3000000000000007</c:v>
                </c:pt>
                <c:pt idx="1">
                  <c:v>9.6</c:v>
                </c:pt>
                <c:pt idx="2">
                  <c:v>9.9</c:v>
                </c:pt>
                <c:pt idx="3">
                  <c:v>9</c:v>
                </c:pt>
                <c:pt idx="4">
                  <c:v>10.199999999999999</c:v>
                </c:pt>
              </c:numCache>
            </c:numRef>
          </c:val>
          <c:smooth val="0"/>
        </c:ser>
        <c:ser>
          <c:idx val="6"/>
          <c:order val="6"/>
          <c:tx>
            <c:v>Traverse</c:v>
          </c:tx>
          <c:spPr>
            <a:ln>
              <a:solidFill>
                <a:schemeClr val="tx2">
                  <a:lumMod val="40000"/>
                  <a:lumOff val="60000"/>
                </a:schemeClr>
              </a:solidFill>
            </a:ln>
          </c:spPr>
          <c:marker>
            <c:symbol val="none"/>
          </c:marker>
          <c:cat>
            <c:numRef>
              <c:f>Sheet1!$H$42:$L$42</c:f>
              <c:numCache>
                <c:formatCode>General</c:formatCode>
                <c:ptCount val="5"/>
                <c:pt idx="0">
                  <c:v>2006</c:v>
                </c:pt>
                <c:pt idx="1">
                  <c:v>2007</c:v>
                </c:pt>
                <c:pt idx="2">
                  <c:v>2008</c:v>
                </c:pt>
                <c:pt idx="3">
                  <c:v>2009</c:v>
                </c:pt>
                <c:pt idx="4">
                  <c:v>2010</c:v>
                </c:pt>
              </c:numCache>
            </c:numRef>
          </c:cat>
          <c:val>
            <c:numRef>
              <c:f>Sheet1!$H$69:$L$69</c:f>
              <c:numCache>
                <c:formatCode>0.0</c:formatCode>
                <c:ptCount val="5"/>
                <c:pt idx="0">
                  <c:v>17.399999999999999</c:v>
                </c:pt>
                <c:pt idx="1">
                  <c:v>16.399999999999999</c:v>
                </c:pt>
                <c:pt idx="2">
                  <c:v>13.5</c:v>
                </c:pt>
                <c:pt idx="3">
                  <c:v>16.3</c:v>
                </c:pt>
                <c:pt idx="4">
                  <c:v>14.7</c:v>
                </c:pt>
              </c:numCache>
            </c:numRef>
          </c:val>
          <c:smooth val="0"/>
        </c:ser>
        <c:dLbls>
          <c:showLegendKey val="0"/>
          <c:showVal val="0"/>
          <c:showCatName val="0"/>
          <c:showSerName val="0"/>
          <c:showPercent val="0"/>
          <c:showBubbleSize val="0"/>
        </c:dLbls>
        <c:smooth val="0"/>
        <c:axId val="321109384"/>
        <c:axId val="321109776"/>
      </c:lineChart>
      <c:catAx>
        <c:axId val="321109384"/>
        <c:scaling>
          <c:orientation val="minMax"/>
        </c:scaling>
        <c:delete val="0"/>
        <c:axPos val="b"/>
        <c:numFmt formatCode="General" sourceLinked="1"/>
        <c:majorTickMark val="cross"/>
        <c:minorTickMark val="none"/>
        <c:tickLblPos val="nextTo"/>
        <c:crossAx val="321109776"/>
        <c:crosses val="autoZero"/>
        <c:auto val="1"/>
        <c:lblAlgn val="ctr"/>
        <c:lblOffset val="100"/>
        <c:noMultiLvlLbl val="0"/>
      </c:catAx>
      <c:valAx>
        <c:axId val="321109776"/>
        <c:scaling>
          <c:orientation val="minMax"/>
          <c:min val="8"/>
        </c:scaling>
        <c:delete val="0"/>
        <c:axPos val="l"/>
        <c:majorGridlines/>
        <c:title>
          <c:tx>
            <c:rich>
              <a:bodyPr rot="-5400000" vert="horz"/>
              <a:lstStyle/>
              <a:p>
                <a:pPr>
                  <a:defRPr/>
                </a:pPr>
                <a:r>
                  <a:rPr lang="en-US"/>
                  <a:t>Percent</a:t>
                </a:r>
              </a:p>
            </c:rich>
          </c:tx>
          <c:layout>
            <c:manualLayout>
              <c:xMode val="edge"/>
              <c:yMode val="edge"/>
              <c:x val="0"/>
              <c:y val="0.37135263296548898"/>
            </c:manualLayout>
          </c:layout>
          <c:overlay val="0"/>
        </c:title>
        <c:numFmt formatCode="#,##0.0" sourceLinked="1"/>
        <c:majorTickMark val="out"/>
        <c:minorTickMark val="none"/>
        <c:tickLblPos val="nextTo"/>
        <c:crossAx val="321109384"/>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Douglas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20</c:v>
                </c:pt>
                <c:pt idx="1">
                  <c:v>20</c:v>
                </c:pt>
                <c:pt idx="2">
                  <c:v>21</c:v>
                </c:pt>
              </c:numCache>
            </c:numRef>
          </c:val>
        </c:ser>
        <c:ser>
          <c:idx val="1"/>
          <c:order val="1"/>
          <c:tx>
            <c:strRef>
              <c:f>Sheet1!$C$1</c:f>
              <c:strCache>
                <c:ptCount val="1"/>
                <c:pt idx="0">
                  <c:v>Grant</c:v>
                </c:pt>
              </c:strCache>
            </c:strRef>
          </c:tx>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1"/>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Sheet1!$A$2:$A$4</c:f>
              <c:numCache>
                <c:formatCode>General</c:formatCode>
                <c:ptCount val="3"/>
                <c:pt idx="0">
                  <c:v>2015</c:v>
                </c:pt>
                <c:pt idx="1">
                  <c:v>2016</c:v>
                </c:pt>
                <c:pt idx="2">
                  <c:v>2017</c:v>
                </c:pt>
              </c:numCache>
            </c:numRef>
          </c:cat>
          <c:val>
            <c:numRef>
              <c:f>Sheet1!$C$2:$C$4</c:f>
              <c:numCache>
                <c:formatCode>General</c:formatCode>
                <c:ptCount val="3"/>
                <c:pt idx="0">
                  <c:v>35</c:v>
                </c:pt>
                <c:pt idx="1">
                  <c:v>35</c:v>
                </c:pt>
                <c:pt idx="2">
                  <c:v>28</c:v>
                </c:pt>
              </c:numCache>
            </c:numRef>
          </c:val>
        </c:ser>
        <c:ser>
          <c:idx val="2"/>
          <c:order val="2"/>
          <c:tx>
            <c:strRef>
              <c:f>Sheet1!$D$1</c:f>
              <c:strCache>
                <c:ptCount val="1"/>
                <c:pt idx="0">
                  <c:v>Pope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2015</c:v>
                </c:pt>
                <c:pt idx="1">
                  <c:v>2016</c:v>
                </c:pt>
                <c:pt idx="2">
                  <c:v>2017</c:v>
                </c:pt>
              </c:numCache>
            </c:numRef>
          </c:cat>
          <c:val>
            <c:numRef>
              <c:f>Sheet1!$D$2:$D$4</c:f>
              <c:numCache>
                <c:formatCode>General</c:formatCode>
                <c:ptCount val="3"/>
                <c:pt idx="0">
                  <c:v>18</c:v>
                </c:pt>
                <c:pt idx="1">
                  <c:v>22</c:v>
                </c:pt>
                <c:pt idx="2">
                  <c:v>20</c:v>
                </c:pt>
              </c:numCache>
            </c:numRef>
          </c:val>
        </c:ser>
        <c:ser>
          <c:idx val="3"/>
          <c:order val="3"/>
          <c:tx>
            <c:strRef>
              <c:f>Sheet1!$E$1</c:f>
              <c:strCache>
                <c:ptCount val="1"/>
                <c:pt idx="0">
                  <c:v>Stevens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2015</c:v>
                </c:pt>
                <c:pt idx="1">
                  <c:v>2016</c:v>
                </c:pt>
                <c:pt idx="2">
                  <c:v>2017</c:v>
                </c:pt>
              </c:numCache>
            </c:numRef>
          </c:cat>
          <c:val>
            <c:numRef>
              <c:f>Sheet1!$E$2:$E$4</c:f>
              <c:numCache>
                <c:formatCode>General</c:formatCode>
                <c:ptCount val="3"/>
                <c:pt idx="0">
                  <c:v>20</c:v>
                </c:pt>
                <c:pt idx="1">
                  <c:v>19</c:v>
                </c:pt>
                <c:pt idx="2">
                  <c:v>16</c:v>
                </c:pt>
              </c:numCache>
            </c:numRef>
          </c:val>
        </c:ser>
        <c:ser>
          <c:idx val="4"/>
          <c:order val="4"/>
          <c:tx>
            <c:strRef>
              <c:f>Sheet1!$F$1</c:f>
              <c:strCache>
                <c:ptCount val="1"/>
                <c:pt idx="0">
                  <c:v>Traverse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Sheet1!$A$2:$A$4</c:f>
              <c:numCache>
                <c:formatCode>General</c:formatCode>
                <c:ptCount val="3"/>
                <c:pt idx="0">
                  <c:v>2015</c:v>
                </c:pt>
                <c:pt idx="1">
                  <c:v>2016</c:v>
                </c:pt>
                <c:pt idx="2">
                  <c:v>2017</c:v>
                </c:pt>
              </c:numCache>
            </c:numRef>
          </c:cat>
          <c:val>
            <c:numRef>
              <c:f>Sheet1!$F$2:$F$4</c:f>
              <c:numCache>
                <c:formatCode>General</c:formatCode>
                <c:ptCount val="3"/>
                <c:pt idx="0">
                  <c:v>20</c:v>
                </c:pt>
                <c:pt idx="1">
                  <c:v>20</c:v>
                </c:pt>
                <c:pt idx="2">
                  <c:v>17</c:v>
                </c:pt>
              </c:numCache>
            </c:numRef>
          </c:val>
        </c:ser>
        <c:dLbls>
          <c:showLegendKey val="0"/>
          <c:showVal val="0"/>
          <c:showCatName val="0"/>
          <c:showSerName val="0"/>
          <c:showPercent val="0"/>
          <c:showBubbleSize val="0"/>
        </c:dLbls>
        <c:gapWidth val="150"/>
        <c:axId val="321110560"/>
        <c:axId val="321110952"/>
      </c:barChart>
      <c:catAx>
        <c:axId val="321110560"/>
        <c:scaling>
          <c:orientation val="minMax"/>
        </c:scaling>
        <c:delete val="0"/>
        <c:axPos val="b"/>
        <c:numFmt formatCode="General" sourceLinked="1"/>
        <c:majorTickMark val="out"/>
        <c:minorTickMark val="none"/>
        <c:tickLblPos val="nextTo"/>
        <c:crossAx val="321110952"/>
        <c:crosses val="autoZero"/>
        <c:auto val="1"/>
        <c:lblAlgn val="ctr"/>
        <c:lblOffset val="100"/>
        <c:noMultiLvlLbl val="0"/>
      </c:catAx>
      <c:valAx>
        <c:axId val="321110952"/>
        <c:scaling>
          <c:orientation val="minMax"/>
        </c:scaling>
        <c:delete val="0"/>
        <c:axPos val="l"/>
        <c:majorGridlines/>
        <c:numFmt formatCode="General" sourceLinked="1"/>
        <c:majorTickMark val="out"/>
        <c:minorTickMark val="none"/>
        <c:tickLblPos val="nextTo"/>
        <c:crossAx val="321110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Douglas</c:v>
                </c:pt>
              </c:strCache>
            </c:strRef>
          </c:tx>
          <c:marker>
            <c:symbol val="none"/>
          </c:marker>
          <c:cat>
            <c:numRef>
              <c:f>Sheet1!$A$2:$A$5</c:f>
              <c:numCache>
                <c:formatCode>General</c:formatCode>
                <c:ptCount val="4"/>
                <c:pt idx="0">
                  <c:v>2012</c:v>
                </c:pt>
                <c:pt idx="1">
                  <c:v>2013</c:v>
                </c:pt>
                <c:pt idx="2">
                  <c:v>2014</c:v>
                </c:pt>
                <c:pt idx="3">
                  <c:v>2015</c:v>
                </c:pt>
              </c:numCache>
            </c:numRef>
          </c:cat>
          <c:val>
            <c:numRef>
              <c:f>Sheet1!$B$2:$B$5</c:f>
              <c:numCache>
                <c:formatCode>General</c:formatCode>
                <c:ptCount val="4"/>
                <c:pt idx="0">
                  <c:v>9</c:v>
                </c:pt>
                <c:pt idx="1">
                  <c:v>8</c:v>
                </c:pt>
                <c:pt idx="2">
                  <c:v>6</c:v>
                </c:pt>
                <c:pt idx="3">
                  <c:v>5.9</c:v>
                </c:pt>
              </c:numCache>
            </c:numRef>
          </c:val>
          <c:smooth val="0"/>
        </c:ser>
        <c:ser>
          <c:idx val="1"/>
          <c:order val="1"/>
          <c:tx>
            <c:strRef>
              <c:f>Sheet1!$C$1</c:f>
              <c:strCache>
                <c:ptCount val="1"/>
                <c:pt idx="0">
                  <c:v>Grant</c:v>
                </c:pt>
              </c:strCache>
            </c:strRef>
          </c:tx>
          <c:marker>
            <c:symbol val="none"/>
          </c:marker>
          <c:cat>
            <c:numRef>
              <c:f>Sheet1!$A$2:$A$5</c:f>
              <c:numCache>
                <c:formatCode>General</c:formatCode>
                <c:ptCount val="4"/>
                <c:pt idx="0">
                  <c:v>2012</c:v>
                </c:pt>
                <c:pt idx="1">
                  <c:v>2013</c:v>
                </c:pt>
                <c:pt idx="2">
                  <c:v>2014</c:v>
                </c:pt>
                <c:pt idx="3">
                  <c:v>2015</c:v>
                </c:pt>
              </c:numCache>
            </c:numRef>
          </c:cat>
          <c:val>
            <c:numRef>
              <c:f>Sheet1!$C$2:$C$5</c:f>
              <c:numCache>
                <c:formatCode>General</c:formatCode>
                <c:ptCount val="4"/>
                <c:pt idx="0">
                  <c:v>10</c:v>
                </c:pt>
                <c:pt idx="1">
                  <c:v>10</c:v>
                </c:pt>
                <c:pt idx="2">
                  <c:v>7</c:v>
                </c:pt>
                <c:pt idx="3">
                  <c:v>5.4</c:v>
                </c:pt>
              </c:numCache>
            </c:numRef>
          </c:val>
          <c:smooth val="0"/>
        </c:ser>
        <c:ser>
          <c:idx val="2"/>
          <c:order val="2"/>
          <c:tx>
            <c:strRef>
              <c:f>Sheet1!$D$1</c:f>
              <c:strCache>
                <c:ptCount val="1"/>
                <c:pt idx="0">
                  <c:v>Pope</c:v>
                </c:pt>
              </c:strCache>
            </c:strRef>
          </c:tx>
          <c:marker>
            <c:symbol val="none"/>
          </c:marker>
          <c:cat>
            <c:numRef>
              <c:f>Sheet1!$A$2:$A$5</c:f>
              <c:numCache>
                <c:formatCode>General</c:formatCode>
                <c:ptCount val="4"/>
                <c:pt idx="0">
                  <c:v>2012</c:v>
                </c:pt>
                <c:pt idx="1">
                  <c:v>2013</c:v>
                </c:pt>
                <c:pt idx="2">
                  <c:v>2014</c:v>
                </c:pt>
                <c:pt idx="3">
                  <c:v>2015</c:v>
                </c:pt>
              </c:numCache>
            </c:numRef>
          </c:cat>
          <c:val>
            <c:numRef>
              <c:f>Sheet1!$D$2:$D$5</c:f>
              <c:numCache>
                <c:formatCode>General</c:formatCode>
                <c:ptCount val="4"/>
                <c:pt idx="0">
                  <c:v>9</c:v>
                </c:pt>
                <c:pt idx="1">
                  <c:v>9</c:v>
                </c:pt>
                <c:pt idx="2">
                  <c:v>7</c:v>
                </c:pt>
                <c:pt idx="3">
                  <c:v>5.6</c:v>
                </c:pt>
              </c:numCache>
            </c:numRef>
          </c:val>
          <c:smooth val="0"/>
        </c:ser>
        <c:ser>
          <c:idx val="3"/>
          <c:order val="3"/>
          <c:tx>
            <c:strRef>
              <c:f>Sheet1!$E$1</c:f>
              <c:strCache>
                <c:ptCount val="1"/>
                <c:pt idx="0">
                  <c:v>Stevens</c:v>
                </c:pt>
              </c:strCache>
            </c:strRef>
          </c:tx>
          <c:marker>
            <c:symbol val="none"/>
          </c:marker>
          <c:cat>
            <c:numRef>
              <c:f>Sheet1!$A$2:$A$5</c:f>
              <c:numCache>
                <c:formatCode>General</c:formatCode>
                <c:ptCount val="4"/>
                <c:pt idx="0">
                  <c:v>2012</c:v>
                </c:pt>
                <c:pt idx="1">
                  <c:v>2013</c:v>
                </c:pt>
                <c:pt idx="2">
                  <c:v>2014</c:v>
                </c:pt>
                <c:pt idx="3">
                  <c:v>2015</c:v>
                </c:pt>
              </c:numCache>
            </c:numRef>
          </c:cat>
          <c:val>
            <c:numRef>
              <c:f>Sheet1!$E$2:$E$5</c:f>
              <c:numCache>
                <c:formatCode>General</c:formatCode>
                <c:ptCount val="4"/>
                <c:pt idx="0">
                  <c:v>9</c:v>
                </c:pt>
                <c:pt idx="1">
                  <c:v>9</c:v>
                </c:pt>
                <c:pt idx="2">
                  <c:v>7</c:v>
                </c:pt>
                <c:pt idx="3">
                  <c:v>4.2</c:v>
                </c:pt>
              </c:numCache>
            </c:numRef>
          </c:val>
          <c:smooth val="0"/>
        </c:ser>
        <c:ser>
          <c:idx val="4"/>
          <c:order val="4"/>
          <c:tx>
            <c:strRef>
              <c:f>Sheet1!$F$1</c:f>
              <c:strCache>
                <c:ptCount val="1"/>
                <c:pt idx="0">
                  <c:v>Traverse</c:v>
                </c:pt>
              </c:strCache>
            </c:strRef>
          </c:tx>
          <c:marker>
            <c:symbol val="none"/>
          </c:marker>
          <c:cat>
            <c:numRef>
              <c:f>Sheet1!$A$2:$A$5</c:f>
              <c:numCache>
                <c:formatCode>General</c:formatCode>
                <c:ptCount val="4"/>
                <c:pt idx="0">
                  <c:v>2012</c:v>
                </c:pt>
                <c:pt idx="1">
                  <c:v>2013</c:v>
                </c:pt>
                <c:pt idx="2">
                  <c:v>2014</c:v>
                </c:pt>
                <c:pt idx="3">
                  <c:v>2015</c:v>
                </c:pt>
              </c:numCache>
            </c:numRef>
          </c:cat>
          <c:val>
            <c:numRef>
              <c:f>Sheet1!$F$2:$F$5</c:f>
              <c:numCache>
                <c:formatCode>General</c:formatCode>
                <c:ptCount val="4"/>
                <c:pt idx="0">
                  <c:v>12</c:v>
                </c:pt>
                <c:pt idx="1">
                  <c:v>12</c:v>
                </c:pt>
                <c:pt idx="2">
                  <c:v>8</c:v>
                </c:pt>
                <c:pt idx="3">
                  <c:v>4</c:v>
                </c:pt>
              </c:numCache>
            </c:numRef>
          </c:val>
          <c:smooth val="0"/>
        </c:ser>
        <c:ser>
          <c:idx val="5"/>
          <c:order val="5"/>
          <c:tx>
            <c:strRef>
              <c:f>Sheet1!$G$1</c:f>
              <c:strCache>
                <c:ptCount val="1"/>
                <c:pt idx="0">
                  <c:v>Minnesota</c:v>
                </c:pt>
              </c:strCache>
            </c:strRef>
          </c:tx>
          <c:marker>
            <c:symbol val="none"/>
          </c:marker>
          <c:cat>
            <c:numRef>
              <c:f>Sheet1!$A$2:$A$5</c:f>
              <c:numCache>
                <c:formatCode>General</c:formatCode>
                <c:ptCount val="4"/>
                <c:pt idx="0">
                  <c:v>2012</c:v>
                </c:pt>
                <c:pt idx="1">
                  <c:v>2013</c:v>
                </c:pt>
                <c:pt idx="2">
                  <c:v>2014</c:v>
                </c:pt>
                <c:pt idx="3">
                  <c:v>2015</c:v>
                </c:pt>
              </c:numCache>
            </c:numRef>
          </c:cat>
          <c:val>
            <c:numRef>
              <c:f>Sheet1!$G$2:$G$5</c:f>
              <c:numCache>
                <c:formatCode>General</c:formatCode>
                <c:ptCount val="4"/>
                <c:pt idx="0">
                  <c:v>9</c:v>
                </c:pt>
                <c:pt idx="1">
                  <c:v>9</c:v>
                </c:pt>
                <c:pt idx="2">
                  <c:v>7</c:v>
                </c:pt>
                <c:pt idx="3">
                  <c:v>7</c:v>
                </c:pt>
              </c:numCache>
            </c:numRef>
          </c:val>
          <c:smooth val="0"/>
        </c:ser>
        <c:dLbls>
          <c:showLegendKey val="0"/>
          <c:showVal val="0"/>
          <c:showCatName val="0"/>
          <c:showSerName val="0"/>
          <c:showPercent val="0"/>
          <c:showBubbleSize val="0"/>
        </c:dLbls>
        <c:smooth val="0"/>
        <c:axId val="321111344"/>
        <c:axId val="321111736"/>
      </c:lineChart>
      <c:catAx>
        <c:axId val="321111344"/>
        <c:scaling>
          <c:orientation val="minMax"/>
        </c:scaling>
        <c:delete val="0"/>
        <c:axPos val="b"/>
        <c:numFmt formatCode="General" sourceLinked="1"/>
        <c:majorTickMark val="out"/>
        <c:minorTickMark val="none"/>
        <c:tickLblPos val="nextTo"/>
        <c:crossAx val="321111736"/>
        <c:crosses val="autoZero"/>
        <c:auto val="1"/>
        <c:lblAlgn val="ctr"/>
        <c:lblOffset val="100"/>
        <c:noMultiLvlLbl val="0"/>
      </c:catAx>
      <c:valAx>
        <c:axId val="321111736"/>
        <c:scaling>
          <c:orientation val="minMax"/>
        </c:scaling>
        <c:delete val="0"/>
        <c:axPos val="l"/>
        <c:majorGridlines/>
        <c:numFmt formatCode="General" sourceLinked="1"/>
        <c:majorTickMark val="out"/>
        <c:minorTickMark val="none"/>
        <c:tickLblPos val="nextTo"/>
        <c:crossAx val="3211113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0-4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Sheet1!$B$2:$B$8</c:f>
              <c:numCache>
                <c:formatCode>General</c:formatCode>
                <c:ptCount val="7"/>
                <c:pt idx="0">
                  <c:v>5.4</c:v>
                </c:pt>
                <c:pt idx="1">
                  <c:v>6.2</c:v>
                </c:pt>
                <c:pt idx="2">
                  <c:v>6</c:v>
                </c:pt>
                <c:pt idx="3">
                  <c:v>5.7</c:v>
                </c:pt>
                <c:pt idx="4">
                  <c:v>4.0999999999999996</c:v>
                </c:pt>
                <c:pt idx="5">
                  <c:v>6.4</c:v>
                </c:pt>
                <c:pt idx="6">
                  <c:v>6.3</c:v>
                </c:pt>
              </c:numCache>
            </c:numRef>
          </c:val>
        </c:ser>
        <c:ser>
          <c:idx val="1"/>
          <c:order val="1"/>
          <c:tx>
            <c:strRef>
              <c:f>Sheet1!$C$1</c:f>
              <c:strCache>
                <c:ptCount val="1"/>
                <c:pt idx="0">
                  <c:v>5 to 9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Sheet1!$C$2:$C$8</c:f>
              <c:numCache>
                <c:formatCode>General</c:formatCode>
                <c:ptCount val="7"/>
                <c:pt idx="0">
                  <c:v>6.1</c:v>
                </c:pt>
                <c:pt idx="1">
                  <c:v>6.3</c:v>
                </c:pt>
                <c:pt idx="2">
                  <c:v>5.6</c:v>
                </c:pt>
                <c:pt idx="3">
                  <c:v>6.5</c:v>
                </c:pt>
                <c:pt idx="4">
                  <c:v>6.1</c:v>
                </c:pt>
                <c:pt idx="5">
                  <c:v>6.7</c:v>
                </c:pt>
                <c:pt idx="6">
                  <c:v>6.5</c:v>
                </c:pt>
              </c:numCache>
            </c:numRef>
          </c:val>
        </c:ser>
        <c:ser>
          <c:idx val="2"/>
          <c:order val="2"/>
          <c:tx>
            <c:strRef>
              <c:f>Sheet1!$D$1</c:f>
              <c:strCache>
                <c:ptCount val="1"/>
                <c:pt idx="0">
                  <c:v>10 to 14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Sheet1!$D$2:$D$8</c:f>
              <c:numCache>
                <c:formatCode>General</c:formatCode>
                <c:ptCount val="7"/>
                <c:pt idx="0">
                  <c:v>6.3</c:v>
                </c:pt>
                <c:pt idx="1">
                  <c:v>5.7</c:v>
                </c:pt>
                <c:pt idx="2">
                  <c:v>5.7</c:v>
                </c:pt>
                <c:pt idx="3">
                  <c:v>5.6</c:v>
                </c:pt>
                <c:pt idx="4">
                  <c:v>6.2</c:v>
                </c:pt>
                <c:pt idx="5">
                  <c:v>6.6</c:v>
                </c:pt>
                <c:pt idx="6">
                  <c:v>6.5</c:v>
                </c:pt>
              </c:numCache>
            </c:numRef>
          </c:val>
        </c:ser>
        <c:ser>
          <c:idx val="3"/>
          <c:order val="3"/>
          <c:tx>
            <c:strRef>
              <c:f>Sheet1!$E$1</c:f>
              <c:strCache>
                <c:ptCount val="1"/>
                <c:pt idx="0">
                  <c:v>15 to 19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Sheet1!$E$2:$E$8</c:f>
              <c:numCache>
                <c:formatCode>General</c:formatCode>
                <c:ptCount val="7"/>
                <c:pt idx="0">
                  <c:v>5.5</c:v>
                </c:pt>
                <c:pt idx="1">
                  <c:v>5.4</c:v>
                </c:pt>
                <c:pt idx="2">
                  <c:v>5.5</c:v>
                </c:pt>
                <c:pt idx="3">
                  <c:v>9.5</c:v>
                </c:pt>
                <c:pt idx="4">
                  <c:v>5.6</c:v>
                </c:pt>
                <c:pt idx="5">
                  <c:v>6.7</c:v>
                </c:pt>
                <c:pt idx="6">
                  <c:v>6.7</c:v>
                </c:pt>
              </c:numCache>
            </c:numRef>
          </c:val>
        </c:ser>
        <c:ser>
          <c:idx val="4"/>
          <c:order val="4"/>
          <c:tx>
            <c:strRef>
              <c:f>Sheet1!$F$1</c:f>
              <c:strCache>
                <c:ptCount val="1"/>
                <c:pt idx="0">
                  <c:v>20 to 24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Sheet1!$F$2:$F$8</c:f>
              <c:numCache>
                <c:formatCode>General</c:formatCode>
                <c:ptCount val="7"/>
                <c:pt idx="0">
                  <c:v>5.8</c:v>
                </c:pt>
                <c:pt idx="1">
                  <c:v>4.7</c:v>
                </c:pt>
                <c:pt idx="2">
                  <c:v>4.5</c:v>
                </c:pt>
                <c:pt idx="3">
                  <c:v>14.1</c:v>
                </c:pt>
                <c:pt idx="4">
                  <c:v>4.8</c:v>
                </c:pt>
                <c:pt idx="5">
                  <c:v>6.6</c:v>
                </c:pt>
                <c:pt idx="6">
                  <c:v>7.1</c:v>
                </c:pt>
              </c:numCache>
            </c:numRef>
          </c:val>
        </c:ser>
        <c:ser>
          <c:idx val="5"/>
          <c:order val="5"/>
          <c:tx>
            <c:strRef>
              <c:f>Sheet1!$G$1</c:f>
              <c:strCache>
                <c:ptCount val="1"/>
                <c:pt idx="0">
                  <c:v>25 to 34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Sheet1!$G$2:$G$8</c:f>
              <c:numCache>
                <c:formatCode>General</c:formatCode>
                <c:ptCount val="7"/>
                <c:pt idx="0">
                  <c:v>11.4</c:v>
                </c:pt>
                <c:pt idx="1">
                  <c:v>10.1</c:v>
                </c:pt>
                <c:pt idx="2">
                  <c:v>10.7</c:v>
                </c:pt>
                <c:pt idx="3">
                  <c:v>11.3</c:v>
                </c:pt>
                <c:pt idx="4">
                  <c:v>8.8000000000000007</c:v>
                </c:pt>
                <c:pt idx="5">
                  <c:v>13.7</c:v>
                </c:pt>
                <c:pt idx="6">
                  <c:v>13.5</c:v>
                </c:pt>
              </c:numCache>
            </c:numRef>
          </c:val>
        </c:ser>
        <c:ser>
          <c:idx val="6"/>
          <c:order val="6"/>
          <c:tx>
            <c:strRef>
              <c:f>Sheet1!$H$1</c:f>
              <c:strCache>
                <c:ptCount val="1"/>
                <c:pt idx="0">
                  <c:v>35 to 44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Sheet1!$H$2:$H$8</c:f>
              <c:numCache>
                <c:formatCode>General</c:formatCode>
                <c:ptCount val="7"/>
                <c:pt idx="0">
                  <c:v>10.6</c:v>
                </c:pt>
                <c:pt idx="1">
                  <c:v>10.5</c:v>
                </c:pt>
                <c:pt idx="2">
                  <c:v>10.199999999999999</c:v>
                </c:pt>
                <c:pt idx="3">
                  <c:v>8.6999999999999993</c:v>
                </c:pt>
                <c:pt idx="4">
                  <c:v>10</c:v>
                </c:pt>
                <c:pt idx="5">
                  <c:v>12.4</c:v>
                </c:pt>
                <c:pt idx="6">
                  <c:v>12.8</c:v>
                </c:pt>
              </c:numCache>
            </c:numRef>
          </c:val>
        </c:ser>
        <c:ser>
          <c:idx val="7"/>
          <c:order val="7"/>
          <c:tx>
            <c:strRef>
              <c:f>Sheet1!$I$1</c:f>
              <c:strCache>
                <c:ptCount val="1"/>
                <c:pt idx="0">
                  <c:v>45 to 54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Sheet1!$I$2:$I$8</c:f>
              <c:numCache>
                <c:formatCode>General</c:formatCode>
                <c:ptCount val="7"/>
                <c:pt idx="0">
                  <c:v>13.5</c:v>
                </c:pt>
                <c:pt idx="1">
                  <c:v>13.4</c:v>
                </c:pt>
                <c:pt idx="2">
                  <c:v>13.1</c:v>
                </c:pt>
                <c:pt idx="3">
                  <c:v>10.3</c:v>
                </c:pt>
                <c:pt idx="4">
                  <c:v>14.2</c:v>
                </c:pt>
                <c:pt idx="5">
                  <c:v>14.3</c:v>
                </c:pt>
                <c:pt idx="6">
                  <c:v>13.9</c:v>
                </c:pt>
              </c:numCache>
            </c:numRef>
          </c:val>
        </c:ser>
        <c:ser>
          <c:idx val="8"/>
          <c:order val="8"/>
          <c:tx>
            <c:strRef>
              <c:f>Sheet1!$J$1</c:f>
              <c:strCache>
                <c:ptCount val="1"/>
                <c:pt idx="0">
                  <c:v>55 to 59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Sheet1!$J$2:$J$8</c:f>
              <c:numCache>
                <c:formatCode>General</c:formatCode>
                <c:ptCount val="7"/>
                <c:pt idx="0">
                  <c:v>7.4</c:v>
                </c:pt>
                <c:pt idx="1">
                  <c:v>8.1999999999999993</c:v>
                </c:pt>
                <c:pt idx="2">
                  <c:v>8</c:v>
                </c:pt>
                <c:pt idx="3">
                  <c:v>6.9</c:v>
                </c:pt>
                <c:pt idx="4">
                  <c:v>8.3000000000000007</c:v>
                </c:pt>
                <c:pt idx="5">
                  <c:v>7</c:v>
                </c:pt>
                <c:pt idx="6">
                  <c:v>6.6</c:v>
                </c:pt>
              </c:numCache>
            </c:numRef>
          </c:val>
        </c:ser>
        <c:ser>
          <c:idx val="9"/>
          <c:order val="9"/>
          <c:tx>
            <c:strRef>
              <c:f>Sheet1!$K$1</c:f>
              <c:strCache>
                <c:ptCount val="1"/>
                <c:pt idx="0">
                  <c:v>60 to 64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Sheet1!$K$2:$K$8</c:f>
              <c:numCache>
                <c:formatCode>General</c:formatCode>
                <c:ptCount val="7"/>
                <c:pt idx="0">
                  <c:v>7</c:v>
                </c:pt>
                <c:pt idx="1">
                  <c:v>6.6</c:v>
                </c:pt>
                <c:pt idx="2">
                  <c:v>7.8</c:v>
                </c:pt>
                <c:pt idx="3">
                  <c:v>4.5999999999999996</c:v>
                </c:pt>
                <c:pt idx="4">
                  <c:v>5.9</c:v>
                </c:pt>
                <c:pt idx="5">
                  <c:v>5.9</c:v>
                </c:pt>
                <c:pt idx="6">
                  <c:v>5.8</c:v>
                </c:pt>
              </c:numCache>
            </c:numRef>
          </c:val>
        </c:ser>
        <c:ser>
          <c:idx val="10"/>
          <c:order val="10"/>
          <c:tx>
            <c:strRef>
              <c:f>Sheet1!$L$1</c:f>
              <c:strCache>
                <c:ptCount val="1"/>
                <c:pt idx="0">
                  <c:v>65 to 74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Sheet1!$L$2:$L$8</c:f>
              <c:numCache>
                <c:formatCode>General</c:formatCode>
                <c:ptCount val="7"/>
                <c:pt idx="0">
                  <c:v>11.2</c:v>
                </c:pt>
                <c:pt idx="1">
                  <c:v>11.5</c:v>
                </c:pt>
                <c:pt idx="2">
                  <c:v>11.8</c:v>
                </c:pt>
                <c:pt idx="3">
                  <c:v>7.1</c:v>
                </c:pt>
                <c:pt idx="4">
                  <c:v>10.5</c:v>
                </c:pt>
                <c:pt idx="5">
                  <c:v>7.6</c:v>
                </c:pt>
                <c:pt idx="6">
                  <c:v>7.9</c:v>
                </c:pt>
              </c:numCache>
            </c:numRef>
          </c:val>
        </c:ser>
        <c:ser>
          <c:idx val="11"/>
          <c:order val="11"/>
          <c:tx>
            <c:strRef>
              <c:f>Sheet1!$M$1</c:f>
              <c:strCache>
                <c:ptCount val="1"/>
                <c:pt idx="0">
                  <c:v>75 to 84 years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Sheet1!$M$2:$M$8</c:f>
              <c:numCache>
                <c:formatCode>General</c:formatCode>
                <c:ptCount val="7"/>
                <c:pt idx="0">
                  <c:v>7.1</c:v>
                </c:pt>
                <c:pt idx="1">
                  <c:v>7.6</c:v>
                </c:pt>
                <c:pt idx="2">
                  <c:v>7.2</c:v>
                </c:pt>
                <c:pt idx="3">
                  <c:v>4.9000000000000004</c:v>
                </c:pt>
                <c:pt idx="4">
                  <c:v>9.3000000000000007</c:v>
                </c:pt>
                <c:pt idx="5">
                  <c:v>4.3</c:v>
                </c:pt>
                <c:pt idx="6">
                  <c:v>4.3</c:v>
                </c:pt>
              </c:numCache>
            </c:numRef>
          </c:val>
        </c:ser>
        <c:ser>
          <c:idx val="12"/>
          <c:order val="12"/>
          <c:tx>
            <c:strRef>
              <c:f>Sheet1!$N$1</c:f>
              <c:strCache>
                <c:ptCount val="1"/>
                <c:pt idx="0">
                  <c:v>85 years and over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Douglas</c:v>
                </c:pt>
                <c:pt idx="1">
                  <c:v>Grant</c:v>
                </c:pt>
                <c:pt idx="2">
                  <c:v>Pope</c:v>
                </c:pt>
                <c:pt idx="3">
                  <c:v>Stevens</c:v>
                </c:pt>
                <c:pt idx="4">
                  <c:v>Traverse</c:v>
                </c:pt>
                <c:pt idx="5">
                  <c:v>Minnesota</c:v>
                </c:pt>
                <c:pt idx="6">
                  <c:v>U. S. </c:v>
                </c:pt>
              </c:strCache>
            </c:strRef>
          </c:cat>
          <c:val>
            <c:numRef>
              <c:f>Sheet1!$N$2:$N$8</c:f>
              <c:numCache>
                <c:formatCode>General</c:formatCode>
                <c:ptCount val="7"/>
                <c:pt idx="0">
                  <c:v>2.8</c:v>
                </c:pt>
                <c:pt idx="1">
                  <c:v>3.7</c:v>
                </c:pt>
                <c:pt idx="2">
                  <c:v>3.8</c:v>
                </c:pt>
                <c:pt idx="3">
                  <c:v>4.7</c:v>
                </c:pt>
                <c:pt idx="4">
                  <c:v>6.1</c:v>
                </c:pt>
                <c:pt idx="5">
                  <c:v>2.1</c:v>
                </c:pt>
                <c:pt idx="6">
                  <c:v>1.9</c:v>
                </c:pt>
              </c:numCache>
            </c:numRef>
          </c:val>
        </c:ser>
        <c:dLbls>
          <c:showLegendKey val="0"/>
          <c:showVal val="0"/>
          <c:showCatName val="0"/>
          <c:showSerName val="0"/>
          <c:showPercent val="0"/>
          <c:showBubbleSize val="0"/>
        </c:dLbls>
        <c:gapWidth val="150"/>
        <c:overlap val="100"/>
        <c:axId val="318083704"/>
        <c:axId val="318084096"/>
      </c:barChart>
      <c:catAx>
        <c:axId val="318083704"/>
        <c:scaling>
          <c:orientation val="minMax"/>
        </c:scaling>
        <c:delete val="0"/>
        <c:axPos val="b"/>
        <c:numFmt formatCode="General" sourceLinked="0"/>
        <c:majorTickMark val="out"/>
        <c:minorTickMark val="none"/>
        <c:tickLblPos val="nextTo"/>
        <c:crossAx val="318084096"/>
        <c:crosses val="autoZero"/>
        <c:auto val="1"/>
        <c:lblAlgn val="ctr"/>
        <c:lblOffset val="100"/>
        <c:noMultiLvlLbl val="0"/>
      </c:catAx>
      <c:valAx>
        <c:axId val="318084096"/>
        <c:scaling>
          <c:orientation val="minMax"/>
        </c:scaling>
        <c:delete val="0"/>
        <c:axPos val="l"/>
        <c:majorGridlines/>
        <c:numFmt formatCode="General" sourceLinked="1"/>
        <c:majorTickMark val="out"/>
        <c:minorTickMark val="none"/>
        <c:tickLblPos val="nextTo"/>
        <c:crossAx val="318083704"/>
        <c:crosses val="autoZero"/>
        <c:crossBetween val="between"/>
      </c:valAx>
    </c:plotArea>
    <c:legend>
      <c:legendPos val="r"/>
      <c:layout>
        <c:manualLayout>
          <c:xMode val="edge"/>
          <c:yMode val="edge"/>
          <c:x val="0.77976888305628467"/>
          <c:y val="2.633795775528059E-2"/>
          <c:w val="0.20634222805482649"/>
          <c:h val="0.93364360704911886"/>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Douglas</c:v>
                </c:pt>
              </c:strCache>
            </c:strRef>
          </c:tx>
          <c:marker>
            <c:symbol val="none"/>
          </c:marker>
          <c:cat>
            <c:strRef>
              <c:f>Sheet1!$A$2:$A$5</c:f>
              <c:strCache>
                <c:ptCount val="4"/>
                <c:pt idx="0">
                  <c:v>1994-1998</c:v>
                </c:pt>
                <c:pt idx="1">
                  <c:v>1999-2003</c:v>
                </c:pt>
                <c:pt idx="2">
                  <c:v>2004-2008</c:v>
                </c:pt>
                <c:pt idx="3">
                  <c:v>2009-2013</c:v>
                </c:pt>
              </c:strCache>
            </c:strRef>
          </c:cat>
          <c:val>
            <c:numRef>
              <c:f>Sheet1!$B$2:$B$5</c:f>
              <c:numCache>
                <c:formatCode>General</c:formatCode>
                <c:ptCount val="4"/>
                <c:pt idx="0">
                  <c:v>87</c:v>
                </c:pt>
                <c:pt idx="1">
                  <c:v>89.8</c:v>
                </c:pt>
                <c:pt idx="2">
                  <c:v>90.3</c:v>
                </c:pt>
                <c:pt idx="3">
                  <c:v>92</c:v>
                </c:pt>
              </c:numCache>
            </c:numRef>
          </c:val>
          <c:smooth val="0"/>
        </c:ser>
        <c:ser>
          <c:idx val="1"/>
          <c:order val="1"/>
          <c:tx>
            <c:strRef>
              <c:f>Sheet1!$C$1</c:f>
              <c:strCache>
                <c:ptCount val="1"/>
                <c:pt idx="0">
                  <c:v>Grant</c:v>
                </c:pt>
              </c:strCache>
            </c:strRef>
          </c:tx>
          <c:marker>
            <c:symbol val="none"/>
          </c:marker>
          <c:cat>
            <c:strRef>
              <c:f>Sheet1!$A$2:$A$5</c:f>
              <c:strCache>
                <c:ptCount val="4"/>
                <c:pt idx="0">
                  <c:v>1994-1998</c:v>
                </c:pt>
                <c:pt idx="1">
                  <c:v>1999-2003</c:v>
                </c:pt>
                <c:pt idx="2">
                  <c:v>2004-2008</c:v>
                </c:pt>
                <c:pt idx="3">
                  <c:v>2009-2013</c:v>
                </c:pt>
              </c:strCache>
            </c:strRef>
          </c:cat>
          <c:val>
            <c:numRef>
              <c:f>Sheet1!$C$2:$C$5</c:f>
              <c:numCache>
                <c:formatCode>General</c:formatCode>
                <c:ptCount val="4"/>
                <c:pt idx="0">
                  <c:v>84.1</c:v>
                </c:pt>
                <c:pt idx="1">
                  <c:v>89.5</c:v>
                </c:pt>
                <c:pt idx="2">
                  <c:v>92.7</c:v>
                </c:pt>
                <c:pt idx="3">
                  <c:v>87.3</c:v>
                </c:pt>
              </c:numCache>
            </c:numRef>
          </c:val>
          <c:smooth val="0"/>
        </c:ser>
        <c:ser>
          <c:idx val="2"/>
          <c:order val="2"/>
          <c:tx>
            <c:strRef>
              <c:f>Sheet1!$D$1</c:f>
              <c:strCache>
                <c:ptCount val="1"/>
                <c:pt idx="0">
                  <c:v>Pope</c:v>
                </c:pt>
              </c:strCache>
            </c:strRef>
          </c:tx>
          <c:marker>
            <c:symbol val="none"/>
          </c:marker>
          <c:cat>
            <c:strRef>
              <c:f>Sheet1!$A$2:$A$5</c:f>
              <c:strCache>
                <c:ptCount val="4"/>
                <c:pt idx="0">
                  <c:v>1994-1998</c:v>
                </c:pt>
                <c:pt idx="1">
                  <c:v>1999-2003</c:v>
                </c:pt>
                <c:pt idx="2">
                  <c:v>2004-2008</c:v>
                </c:pt>
                <c:pt idx="3">
                  <c:v>2009-2013</c:v>
                </c:pt>
              </c:strCache>
            </c:strRef>
          </c:cat>
          <c:val>
            <c:numRef>
              <c:f>Sheet1!$D$2:$D$5</c:f>
              <c:numCache>
                <c:formatCode>General</c:formatCode>
                <c:ptCount val="4"/>
                <c:pt idx="0">
                  <c:v>83.6</c:v>
                </c:pt>
                <c:pt idx="1">
                  <c:v>91.5</c:v>
                </c:pt>
                <c:pt idx="2">
                  <c:v>85.4</c:v>
                </c:pt>
                <c:pt idx="3">
                  <c:v>87.8</c:v>
                </c:pt>
              </c:numCache>
            </c:numRef>
          </c:val>
          <c:smooth val="0"/>
        </c:ser>
        <c:ser>
          <c:idx val="3"/>
          <c:order val="3"/>
          <c:tx>
            <c:strRef>
              <c:f>Sheet1!$E$1</c:f>
              <c:strCache>
                <c:ptCount val="1"/>
                <c:pt idx="0">
                  <c:v>Stevens</c:v>
                </c:pt>
              </c:strCache>
            </c:strRef>
          </c:tx>
          <c:marker>
            <c:symbol val="none"/>
          </c:marker>
          <c:cat>
            <c:strRef>
              <c:f>Sheet1!$A$2:$A$5</c:f>
              <c:strCache>
                <c:ptCount val="4"/>
                <c:pt idx="0">
                  <c:v>1994-1998</c:v>
                </c:pt>
                <c:pt idx="1">
                  <c:v>1999-2003</c:v>
                </c:pt>
                <c:pt idx="2">
                  <c:v>2004-2008</c:v>
                </c:pt>
                <c:pt idx="3">
                  <c:v>2009-2013</c:v>
                </c:pt>
              </c:strCache>
            </c:strRef>
          </c:cat>
          <c:val>
            <c:numRef>
              <c:f>Sheet1!$E$2:$E$5</c:f>
              <c:numCache>
                <c:formatCode>General</c:formatCode>
                <c:ptCount val="4"/>
                <c:pt idx="0">
                  <c:v>78.8</c:v>
                </c:pt>
                <c:pt idx="1">
                  <c:v>84.2</c:v>
                </c:pt>
                <c:pt idx="2">
                  <c:v>90.6</c:v>
                </c:pt>
                <c:pt idx="3">
                  <c:v>91.3</c:v>
                </c:pt>
              </c:numCache>
            </c:numRef>
          </c:val>
          <c:smooth val="0"/>
        </c:ser>
        <c:ser>
          <c:idx val="4"/>
          <c:order val="4"/>
          <c:tx>
            <c:strRef>
              <c:f>Sheet1!$F$1</c:f>
              <c:strCache>
                <c:ptCount val="1"/>
                <c:pt idx="0">
                  <c:v>Traverse</c:v>
                </c:pt>
              </c:strCache>
            </c:strRef>
          </c:tx>
          <c:marker>
            <c:symbol val="none"/>
          </c:marker>
          <c:cat>
            <c:strRef>
              <c:f>Sheet1!$A$2:$A$5</c:f>
              <c:strCache>
                <c:ptCount val="4"/>
                <c:pt idx="0">
                  <c:v>1994-1998</c:v>
                </c:pt>
                <c:pt idx="1">
                  <c:v>1999-2003</c:v>
                </c:pt>
                <c:pt idx="2">
                  <c:v>2004-2008</c:v>
                </c:pt>
                <c:pt idx="3">
                  <c:v>2009-2013</c:v>
                </c:pt>
              </c:strCache>
            </c:strRef>
          </c:cat>
          <c:val>
            <c:numRef>
              <c:f>Sheet1!$F$2:$F$5</c:f>
              <c:numCache>
                <c:formatCode>General</c:formatCode>
                <c:ptCount val="4"/>
                <c:pt idx="0">
                  <c:v>78.400000000000006</c:v>
                </c:pt>
                <c:pt idx="1">
                  <c:v>86.8</c:v>
                </c:pt>
                <c:pt idx="2">
                  <c:v>80.8</c:v>
                </c:pt>
                <c:pt idx="3">
                  <c:v>86.2</c:v>
                </c:pt>
              </c:numCache>
            </c:numRef>
          </c:val>
          <c:smooth val="0"/>
        </c:ser>
        <c:ser>
          <c:idx val="5"/>
          <c:order val="5"/>
          <c:tx>
            <c:strRef>
              <c:f>Sheet1!$G$1</c:f>
              <c:strCache>
                <c:ptCount val="1"/>
                <c:pt idx="0">
                  <c:v>CHB</c:v>
                </c:pt>
              </c:strCache>
            </c:strRef>
          </c:tx>
          <c:marker>
            <c:symbol val="none"/>
          </c:marker>
          <c:cat>
            <c:strRef>
              <c:f>Sheet1!$A$2:$A$5</c:f>
              <c:strCache>
                <c:ptCount val="4"/>
                <c:pt idx="0">
                  <c:v>1994-1998</c:v>
                </c:pt>
                <c:pt idx="1">
                  <c:v>1999-2003</c:v>
                </c:pt>
                <c:pt idx="2">
                  <c:v>2004-2008</c:v>
                </c:pt>
                <c:pt idx="3">
                  <c:v>2009-2013</c:v>
                </c:pt>
              </c:strCache>
            </c:strRef>
          </c:cat>
          <c:val>
            <c:numRef>
              <c:f>Sheet1!$G$2:$G$5</c:f>
              <c:numCache>
                <c:formatCode>General</c:formatCode>
                <c:ptCount val="4"/>
                <c:pt idx="0">
                  <c:v>84.4</c:v>
                </c:pt>
                <c:pt idx="1">
                  <c:v>89</c:v>
                </c:pt>
                <c:pt idx="2">
                  <c:v>89.3</c:v>
                </c:pt>
                <c:pt idx="3">
                  <c:v>90.5</c:v>
                </c:pt>
              </c:numCache>
            </c:numRef>
          </c:val>
          <c:smooth val="0"/>
        </c:ser>
        <c:ser>
          <c:idx val="6"/>
          <c:order val="6"/>
          <c:tx>
            <c:strRef>
              <c:f>Sheet1!$H$1</c:f>
              <c:strCache>
                <c:ptCount val="1"/>
                <c:pt idx="0">
                  <c:v>Minnesota</c:v>
                </c:pt>
              </c:strCache>
            </c:strRef>
          </c:tx>
          <c:marker>
            <c:symbol val="none"/>
          </c:marker>
          <c:cat>
            <c:strRef>
              <c:f>Sheet1!$A$2:$A$5</c:f>
              <c:strCache>
                <c:ptCount val="4"/>
                <c:pt idx="0">
                  <c:v>1994-1998</c:v>
                </c:pt>
                <c:pt idx="1">
                  <c:v>1999-2003</c:v>
                </c:pt>
                <c:pt idx="2">
                  <c:v>2004-2008</c:v>
                </c:pt>
                <c:pt idx="3">
                  <c:v>2009-2013</c:v>
                </c:pt>
              </c:strCache>
            </c:strRef>
          </c:cat>
          <c:val>
            <c:numRef>
              <c:f>Sheet1!$H$2:$H$5</c:f>
              <c:numCache>
                <c:formatCode>General</c:formatCode>
                <c:ptCount val="4"/>
                <c:pt idx="0">
                  <c:v>83.8</c:v>
                </c:pt>
                <c:pt idx="1">
                  <c:v>85.2</c:v>
                </c:pt>
                <c:pt idx="2">
                  <c:v>86.1</c:v>
                </c:pt>
                <c:pt idx="3">
                  <c:v>84.8</c:v>
                </c:pt>
              </c:numCache>
            </c:numRef>
          </c:val>
          <c:smooth val="0"/>
        </c:ser>
        <c:dLbls>
          <c:showLegendKey val="0"/>
          <c:showVal val="0"/>
          <c:showCatName val="0"/>
          <c:showSerName val="0"/>
          <c:showPercent val="0"/>
          <c:showBubbleSize val="0"/>
        </c:dLbls>
        <c:smooth val="0"/>
        <c:axId val="351393688"/>
        <c:axId val="351394080"/>
      </c:lineChart>
      <c:catAx>
        <c:axId val="351393688"/>
        <c:scaling>
          <c:orientation val="minMax"/>
        </c:scaling>
        <c:delete val="0"/>
        <c:axPos val="b"/>
        <c:numFmt formatCode="General" sourceLinked="0"/>
        <c:majorTickMark val="out"/>
        <c:minorTickMark val="none"/>
        <c:tickLblPos val="nextTo"/>
        <c:crossAx val="351394080"/>
        <c:crosses val="autoZero"/>
        <c:auto val="1"/>
        <c:lblAlgn val="ctr"/>
        <c:lblOffset val="100"/>
        <c:noMultiLvlLbl val="0"/>
      </c:catAx>
      <c:valAx>
        <c:axId val="351394080"/>
        <c:scaling>
          <c:orientation val="minMax"/>
        </c:scaling>
        <c:delete val="0"/>
        <c:axPos val="l"/>
        <c:majorGridlines/>
        <c:numFmt formatCode="General" sourceLinked="1"/>
        <c:majorTickMark val="out"/>
        <c:minorTickMark val="none"/>
        <c:tickLblPos val="nextTo"/>
        <c:crossAx val="3513936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Douglas</c:v>
                </c:pt>
              </c:strCache>
            </c:strRef>
          </c:tx>
          <c:marker>
            <c:symbol val="none"/>
          </c:marker>
          <c:cat>
            <c:strRef>
              <c:f>Sheet1!$A$2:$A$5</c:f>
              <c:strCache>
                <c:ptCount val="4"/>
                <c:pt idx="0">
                  <c:v>1994-1998</c:v>
                </c:pt>
                <c:pt idx="1">
                  <c:v>1998-2003</c:v>
                </c:pt>
                <c:pt idx="2">
                  <c:v>2004-2008</c:v>
                </c:pt>
                <c:pt idx="3">
                  <c:v>2009-2013</c:v>
                </c:pt>
              </c:strCache>
            </c:strRef>
          </c:cat>
          <c:val>
            <c:numRef>
              <c:f>Sheet1!$B$2:$B$5</c:f>
              <c:numCache>
                <c:formatCode>General</c:formatCode>
                <c:ptCount val="4"/>
                <c:pt idx="0">
                  <c:v>18.8</c:v>
                </c:pt>
                <c:pt idx="1">
                  <c:v>15.8</c:v>
                </c:pt>
                <c:pt idx="2">
                  <c:v>14.1</c:v>
                </c:pt>
                <c:pt idx="3">
                  <c:v>15.1</c:v>
                </c:pt>
              </c:numCache>
            </c:numRef>
          </c:val>
          <c:smooth val="0"/>
        </c:ser>
        <c:ser>
          <c:idx val="1"/>
          <c:order val="1"/>
          <c:tx>
            <c:strRef>
              <c:f>Sheet1!$C$1</c:f>
              <c:strCache>
                <c:ptCount val="1"/>
                <c:pt idx="0">
                  <c:v>Grant</c:v>
                </c:pt>
              </c:strCache>
            </c:strRef>
          </c:tx>
          <c:marker>
            <c:symbol val="none"/>
          </c:marker>
          <c:cat>
            <c:strRef>
              <c:f>Sheet1!$A$2:$A$5</c:f>
              <c:strCache>
                <c:ptCount val="4"/>
                <c:pt idx="0">
                  <c:v>1994-1998</c:v>
                </c:pt>
                <c:pt idx="1">
                  <c:v>1998-2003</c:v>
                </c:pt>
                <c:pt idx="2">
                  <c:v>2004-2008</c:v>
                </c:pt>
                <c:pt idx="3">
                  <c:v>2009-2013</c:v>
                </c:pt>
              </c:strCache>
            </c:strRef>
          </c:cat>
          <c:val>
            <c:numRef>
              <c:f>Sheet1!$C$2:$C$5</c:f>
              <c:numCache>
                <c:formatCode>General</c:formatCode>
                <c:ptCount val="4"/>
                <c:pt idx="0">
                  <c:v>16.100000000000001</c:v>
                </c:pt>
                <c:pt idx="1">
                  <c:v>13.7</c:v>
                </c:pt>
                <c:pt idx="2">
                  <c:v>12</c:v>
                </c:pt>
                <c:pt idx="3">
                  <c:v>10.6</c:v>
                </c:pt>
              </c:numCache>
            </c:numRef>
          </c:val>
          <c:smooth val="0"/>
        </c:ser>
        <c:ser>
          <c:idx val="2"/>
          <c:order val="2"/>
          <c:tx>
            <c:strRef>
              <c:f>Sheet1!$D$1</c:f>
              <c:strCache>
                <c:ptCount val="1"/>
                <c:pt idx="0">
                  <c:v>Pope</c:v>
                </c:pt>
              </c:strCache>
            </c:strRef>
          </c:tx>
          <c:marker>
            <c:symbol val="none"/>
          </c:marker>
          <c:cat>
            <c:strRef>
              <c:f>Sheet1!$A$2:$A$5</c:f>
              <c:strCache>
                <c:ptCount val="4"/>
                <c:pt idx="0">
                  <c:v>1994-1998</c:v>
                </c:pt>
                <c:pt idx="1">
                  <c:v>1998-2003</c:v>
                </c:pt>
                <c:pt idx="2">
                  <c:v>2004-2008</c:v>
                </c:pt>
                <c:pt idx="3">
                  <c:v>2009-2013</c:v>
                </c:pt>
              </c:strCache>
            </c:strRef>
          </c:cat>
          <c:val>
            <c:numRef>
              <c:f>Sheet1!$D$2:$D$5</c:f>
              <c:numCache>
                <c:formatCode>General</c:formatCode>
                <c:ptCount val="4"/>
                <c:pt idx="0">
                  <c:v>16.600000000000001</c:v>
                </c:pt>
                <c:pt idx="1">
                  <c:v>13.6</c:v>
                </c:pt>
                <c:pt idx="2">
                  <c:v>13.6</c:v>
                </c:pt>
                <c:pt idx="3">
                  <c:v>13</c:v>
                </c:pt>
              </c:numCache>
            </c:numRef>
          </c:val>
          <c:smooth val="0"/>
        </c:ser>
        <c:ser>
          <c:idx val="3"/>
          <c:order val="3"/>
          <c:tx>
            <c:strRef>
              <c:f>Sheet1!$E$1</c:f>
              <c:strCache>
                <c:ptCount val="1"/>
                <c:pt idx="0">
                  <c:v>Stevens</c:v>
                </c:pt>
              </c:strCache>
            </c:strRef>
          </c:tx>
          <c:marker>
            <c:symbol val="none"/>
          </c:marker>
          <c:cat>
            <c:strRef>
              <c:f>Sheet1!$A$2:$A$5</c:f>
              <c:strCache>
                <c:ptCount val="4"/>
                <c:pt idx="0">
                  <c:v>1994-1998</c:v>
                </c:pt>
                <c:pt idx="1">
                  <c:v>1998-2003</c:v>
                </c:pt>
                <c:pt idx="2">
                  <c:v>2004-2008</c:v>
                </c:pt>
                <c:pt idx="3">
                  <c:v>2009-2013</c:v>
                </c:pt>
              </c:strCache>
            </c:strRef>
          </c:cat>
          <c:val>
            <c:numRef>
              <c:f>Sheet1!$E$2:$E$5</c:f>
              <c:numCache>
                <c:formatCode>General</c:formatCode>
                <c:ptCount val="4"/>
                <c:pt idx="0">
                  <c:v>7.9</c:v>
                </c:pt>
                <c:pt idx="1">
                  <c:v>7.8</c:v>
                </c:pt>
                <c:pt idx="2">
                  <c:v>8.3000000000000007</c:v>
                </c:pt>
                <c:pt idx="3">
                  <c:v>9.3000000000000007</c:v>
                </c:pt>
              </c:numCache>
            </c:numRef>
          </c:val>
          <c:smooth val="0"/>
        </c:ser>
        <c:ser>
          <c:idx val="4"/>
          <c:order val="4"/>
          <c:tx>
            <c:strRef>
              <c:f>Sheet1!$F$1</c:f>
              <c:strCache>
                <c:ptCount val="1"/>
                <c:pt idx="0">
                  <c:v>Traverse</c:v>
                </c:pt>
              </c:strCache>
            </c:strRef>
          </c:tx>
          <c:marker>
            <c:symbol val="none"/>
          </c:marker>
          <c:cat>
            <c:strRef>
              <c:f>Sheet1!$A$2:$A$5</c:f>
              <c:strCache>
                <c:ptCount val="4"/>
                <c:pt idx="0">
                  <c:v>1994-1998</c:v>
                </c:pt>
                <c:pt idx="1">
                  <c:v>1998-2003</c:v>
                </c:pt>
                <c:pt idx="2">
                  <c:v>2004-2008</c:v>
                </c:pt>
                <c:pt idx="3">
                  <c:v>2009-2013</c:v>
                </c:pt>
              </c:strCache>
            </c:strRef>
          </c:cat>
          <c:val>
            <c:numRef>
              <c:f>Sheet1!$F$2:$F$5</c:f>
              <c:numCache>
                <c:formatCode>General</c:formatCode>
                <c:ptCount val="4"/>
                <c:pt idx="0">
                  <c:v>13.5</c:v>
                </c:pt>
                <c:pt idx="1">
                  <c:v>24.7</c:v>
                </c:pt>
                <c:pt idx="2">
                  <c:v>19.899999999999999</c:v>
                </c:pt>
                <c:pt idx="3">
                  <c:v>19.2</c:v>
                </c:pt>
              </c:numCache>
            </c:numRef>
          </c:val>
          <c:smooth val="0"/>
        </c:ser>
        <c:ser>
          <c:idx val="5"/>
          <c:order val="5"/>
          <c:tx>
            <c:strRef>
              <c:f>Sheet1!$G$1</c:f>
              <c:strCache>
                <c:ptCount val="1"/>
                <c:pt idx="0">
                  <c:v>CHB</c:v>
                </c:pt>
              </c:strCache>
            </c:strRef>
          </c:tx>
          <c:marker>
            <c:symbol val="none"/>
          </c:marker>
          <c:cat>
            <c:strRef>
              <c:f>Sheet1!$A$2:$A$5</c:f>
              <c:strCache>
                <c:ptCount val="4"/>
                <c:pt idx="0">
                  <c:v>1994-1998</c:v>
                </c:pt>
                <c:pt idx="1">
                  <c:v>1998-2003</c:v>
                </c:pt>
                <c:pt idx="2">
                  <c:v>2004-2008</c:v>
                </c:pt>
                <c:pt idx="3">
                  <c:v>2009-2013</c:v>
                </c:pt>
              </c:strCache>
            </c:strRef>
          </c:cat>
          <c:val>
            <c:numRef>
              <c:f>Sheet1!$G$2:$G$5</c:f>
              <c:numCache>
                <c:formatCode>General</c:formatCode>
                <c:ptCount val="4"/>
                <c:pt idx="0">
                  <c:v>16.3</c:v>
                </c:pt>
                <c:pt idx="1">
                  <c:v>14.5</c:v>
                </c:pt>
                <c:pt idx="2">
                  <c:v>13.3</c:v>
                </c:pt>
                <c:pt idx="3">
                  <c:v>13.6</c:v>
                </c:pt>
              </c:numCache>
            </c:numRef>
          </c:val>
          <c:smooth val="0"/>
        </c:ser>
        <c:ser>
          <c:idx val="6"/>
          <c:order val="6"/>
          <c:tx>
            <c:strRef>
              <c:f>Sheet1!$H$1</c:f>
              <c:strCache>
                <c:ptCount val="1"/>
                <c:pt idx="0">
                  <c:v>Minnesota</c:v>
                </c:pt>
              </c:strCache>
            </c:strRef>
          </c:tx>
          <c:marker>
            <c:symbol val="none"/>
          </c:marker>
          <c:cat>
            <c:strRef>
              <c:f>Sheet1!$A$2:$A$5</c:f>
              <c:strCache>
                <c:ptCount val="4"/>
                <c:pt idx="0">
                  <c:v>1994-1998</c:v>
                </c:pt>
                <c:pt idx="1">
                  <c:v>1998-2003</c:v>
                </c:pt>
                <c:pt idx="2">
                  <c:v>2004-2008</c:v>
                </c:pt>
                <c:pt idx="3">
                  <c:v>2009-2013</c:v>
                </c:pt>
              </c:strCache>
            </c:strRef>
          </c:cat>
          <c:val>
            <c:numRef>
              <c:f>Sheet1!$H$2:$H$5</c:f>
              <c:numCache>
                <c:formatCode>General</c:formatCode>
                <c:ptCount val="4"/>
                <c:pt idx="0">
                  <c:v>13.1</c:v>
                </c:pt>
                <c:pt idx="1">
                  <c:v>10.9</c:v>
                </c:pt>
                <c:pt idx="2">
                  <c:v>9.6999999999999993</c:v>
                </c:pt>
                <c:pt idx="3">
                  <c:v>10.8</c:v>
                </c:pt>
              </c:numCache>
            </c:numRef>
          </c:val>
          <c:smooth val="0"/>
        </c:ser>
        <c:dLbls>
          <c:showLegendKey val="0"/>
          <c:showVal val="0"/>
          <c:showCatName val="0"/>
          <c:showSerName val="0"/>
          <c:showPercent val="0"/>
          <c:showBubbleSize val="0"/>
        </c:dLbls>
        <c:smooth val="0"/>
        <c:axId val="351394864"/>
        <c:axId val="351395256"/>
      </c:lineChart>
      <c:catAx>
        <c:axId val="351394864"/>
        <c:scaling>
          <c:orientation val="minMax"/>
        </c:scaling>
        <c:delete val="0"/>
        <c:axPos val="b"/>
        <c:numFmt formatCode="General" sourceLinked="0"/>
        <c:majorTickMark val="out"/>
        <c:minorTickMark val="none"/>
        <c:tickLblPos val="nextTo"/>
        <c:crossAx val="351395256"/>
        <c:crosses val="autoZero"/>
        <c:auto val="1"/>
        <c:lblAlgn val="ctr"/>
        <c:lblOffset val="100"/>
        <c:noMultiLvlLbl val="0"/>
      </c:catAx>
      <c:valAx>
        <c:axId val="351395256"/>
        <c:scaling>
          <c:orientation val="minMax"/>
        </c:scaling>
        <c:delete val="0"/>
        <c:axPos val="l"/>
        <c:majorGridlines/>
        <c:numFmt formatCode="General" sourceLinked="1"/>
        <c:majorTickMark val="out"/>
        <c:minorTickMark val="none"/>
        <c:tickLblPos val="nextTo"/>
        <c:crossAx val="3513948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Douglas</c:v>
                </c:pt>
              </c:strCache>
            </c:strRef>
          </c:tx>
          <c:marker>
            <c:symbol val="none"/>
          </c:marker>
          <c:cat>
            <c:strRef>
              <c:f>Sheet1!$A$2:$A$5</c:f>
              <c:strCache>
                <c:ptCount val="4"/>
                <c:pt idx="0">
                  <c:v>1994-1998</c:v>
                </c:pt>
                <c:pt idx="1">
                  <c:v>1999-2003</c:v>
                </c:pt>
                <c:pt idx="2">
                  <c:v>2004-2008</c:v>
                </c:pt>
                <c:pt idx="3">
                  <c:v>2009-2013</c:v>
                </c:pt>
              </c:strCache>
            </c:strRef>
          </c:cat>
          <c:val>
            <c:numRef>
              <c:f>Sheet1!$B$2:$B$5</c:f>
              <c:numCache>
                <c:formatCode>General</c:formatCode>
                <c:ptCount val="4"/>
                <c:pt idx="0">
                  <c:v>6</c:v>
                </c:pt>
                <c:pt idx="1">
                  <c:v>7.7</c:v>
                </c:pt>
                <c:pt idx="2">
                  <c:v>8.5</c:v>
                </c:pt>
                <c:pt idx="3">
                  <c:v>7.5</c:v>
                </c:pt>
              </c:numCache>
            </c:numRef>
          </c:val>
          <c:smooth val="0"/>
        </c:ser>
        <c:ser>
          <c:idx val="1"/>
          <c:order val="1"/>
          <c:tx>
            <c:strRef>
              <c:f>Sheet1!$C$1</c:f>
              <c:strCache>
                <c:ptCount val="1"/>
                <c:pt idx="0">
                  <c:v>Grant</c:v>
                </c:pt>
              </c:strCache>
            </c:strRef>
          </c:tx>
          <c:marker>
            <c:symbol val="none"/>
          </c:marker>
          <c:cat>
            <c:strRef>
              <c:f>Sheet1!$A$2:$A$5</c:f>
              <c:strCache>
                <c:ptCount val="4"/>
                <c:pt idx="0">
                  <c:v>1994-1998</c:v>
                </c:pt>
                <c:pt idx="1">
                  <c:v>1999-2003</c:v>
                </c:pt>
                <c:pt idx="2">
                  <c:v>2004-2008</c:v>
                </c:pt>
                <c:pt idx="3">
                  <c:v>2009-2013</c:v>
                </c:pt>
              </c:strCache>
            </c:strRef>
          </c:cat>
          <c:val>
            <c:numRef>
              <c:f>Sheet1!$C$2:$C$5</c:f>
              <c:numCache>
                <c:formatCode>General</c:formatCode>
                <c:ptCount val="4"/>
                <c:pt idx="0">
                  <c:v>5.8</c:v>
                </c:pt>
                <c:pt idx="1">
                  <c:v>6.7</c:v>
                </c:pt>
                <c:pt idx="2">
                  <c:v>4.5999999999999996</c:v>
                </c:pt>
                <c:pt idx="3">
                  <c:v>6.5</c:v>
                </c:pt>
              </c:numCache>
            </c:numRef>
          </c:val>
          <c:smooth val="0"/>
        </c:ser>
        <c:ser>
          <c:idx val="2"/>
          <c:order val="2"/>
          <c:tx>
            <c:strRef>
              <c:f>Sheet1!$D$1</c:f>
              <c:strCache>
                <c:ptCount val="1"/>
                <c:pt idx="0">
                  <c:v>Pope</c:v>
                </c:pt>
              </c:strCache>
            </c:strRef>
          </c:tx>
          <c:marker>
            <c:symbol val="none"/>
          </c:marker>
          <c:cat>
            <c:strRef>
              <c:f>Sheet1!$A$2:$A$5</c:f>
              <c:strCache>
                <c:ptCount val="4"/>
                <c:pt idx="0">
                  <c:v>1994-1998</c:v>
                </c:pt>
                <c:pt idx="1">
                  <c:v>1999-2003</c:v>
                </c:pt>
                <c:pt idx="2">
                  <c:v>2004-2008</c:v>
                </c:pt>
                <c:pt idx="3">
                  <c:v>2009-2013</c:v>
                </c:pt>
              </c:strCache>
            </c:strRef>
          </c:cat>
          <c:val>
            <c:numRef>
              <c:f>Sheet1!$D$2:$D$5</c:f>
              <c:numCache>
                <c:formatCode>General</c:formatCode>
                <c:ptCount val="4"/>
                <c:pt idx="0">
                  <c:v>6.3</c:v>
                </c:pt>
                <c:pt idx="1">
                  <c:v>8.1999999999999993</c:v>
                </c:pt>
                <c:pt idx="2">
                  <c:v>8.1999999999999993</c:v>
                </c:pt>
                <c:pt idx="3">
                  <c:v>9.1999999999999993</c:v>
                </c:pt>
              </c:numCache>
            </c:numRef>
          </c:val>
          <c:smooth val="0"/>
        </c:ser>
        <c:ser>
          <c:idx val="3"/>
          <c:order val="3"/>
          <c:tx>
            <c:strRef>
              <c:f>Sheet1!$E$1</c:f>
              <c:strCache>
                <c:ptCount val="1"/>
                <c:pt idx="0">
                  <c:v>Stevens</c:v>
                </c:pt>
              </c:strCache>
            </c:strRef>
          </c:tx>
          <c:marker>
            <c:symbol val="none"/>
          </c:marker>
          <c:cat>
            <c:strRef>
              <c:f>Sheet1!$A$2:$A$5</c:f>
              <c:strCache>
                <c:ptCount val="4"/>
                <c:pt idx="0">
                  <c:v>1994-1998</c:v>
                </c:pt>
                <c:pt idx="1">
                  <c:v>1999-2003</c:v>
                </c:pt>
                <c:pt idx="2">
                  <c:v>2004-2008</c:v>
                </c:pt>
                <c:pt idx="3">
                  <c:v>2009-2013</c:v>
                </c:pt>
              </c:strCache>
            </c:strRef>
          </c:cat>
          <c:val>
            <c:numRef>
              <c:f>Sheet1!$E$2:$E$5</c:f>
              <c:numCache>
                <c:formatCode>General</c:formatCode>
                <c:ptCount val="4"/>
                <c:pt idx="0">
                  <c:v>6.4</c:v>
                </c:pt>
                <c:pt idx="1">
                  <c:v>7.4</c:v>
                </c:pt>
                <c:pt idx="2">
                  <c:v>6.8</c:v>
                </c:pt>
                <c:pt idx="3">
                  <c:v>7.3</c:v>
                </c:pt>
              </c:numCache>
            </c:numRef>
          </c:val>
          <c:smooth val="0"/>
        </c:ser>
        <c:ser>
          <c:idx val="4"/>
          <c:order val="4"/>
          <c:tx>
            <c:strRef>
              <c:f>Sheet1!$F$1</c:f>
              <c:strCache>
                <c:ptCount val="1"/>
                <c:pt idx="0">
                  <c:v>Traverse</c:v>
                </c:pt>
              </c:strCache>
            </c:strRef>
          </c:tx>
          <c:marker>
            <c:symbol val="none"/>
          </c:marker>
          <c:cat>
            <c:strRef>
              <c:f>Sheet1!$A$2:$A$5</c:f>
              <c:strCache>
                <c:ptCount val="4"/>
                <c:pt idx="0">
                  <c:v>1994-1998</c:v>
                </c:pt>
                <c:pt idx="1">
                  <c:v>1999-2003</c:v>
                </c:pt>
                <c:pt idx="2">
                  <c:v>2004-2008</c:v>
                </c:pt>
                <c:pt idx="3">
                  <c:v>2009-2013</c:v>
                </c:pt>
              </c:strCache>
            </c:strRef>
          </c:cat>
          <c:val>
            <c:numRef>
              <c:f>Sheet1!$F$2:$F$5</c:f>
              <c:numCache>
                <c:formatCode>General</c:formatCode>
                <c:ptCount val="4"/>
                <c:pt idx="0">
                  <c:v>6.6</c:v>
                </c:pt>
                <c:pt idx="1">
                  <c:v>6.9</c:v>
                </c:pt>
                <c:pt idx="2">
                  <c:v>7.9</c:v>
                </c:pt>
                <c:pt idx="3">
                  <c:v>8.4</c:v>
                </c:pt>
              </c:numCache>
            </c:numRef>
          </c:val>
          <c:smooth val="0"/>
        </c:ser>
        <c:ser>
          <c:idx val="5"/>
          <c:order val="5"/>
          <c:tx>
            <c:strRef>
              <c:f>Sheet1!$G$1</c:f>
              <c:strCache>
                <c:ptCount val="1"/>
                <c:pt idx="0">
                  <c:v>CHB</c:v>
                </c:pt>
              </c:strCache>
            </c:strRef>
          </c:tx>
          <c:marker>
            <c:symbol val="none"/>
          </c:marker>
          <c:cat>
            <c:strRef>
              <c:f>Sheet1!$A$2:$A$5</c:f>
              <c:strCache>
                <c:ptCount val="4"/>
                <c:pt idx="0">
                  <c:v>1994-1998</c:v>
                </c:pt>
                <c:pt idx="1">
                  <c:v>1999-2003</c:v>
                </c:pt>
                <c:pt idx="2">
                  <c:v>2004-2008</c:v>
                </c:pt>
                <c:pt idx="3">
                  <c:v>2009-2013</c:v>
                </c:pt>
              </c:strCache>
            </c:strRef>
          </c:cat>
          <c:val>
            <c:numRef>
              <c:f>Sheet1!$G$2:$G$5</c:f>
              <c:numCache>
                <c:formatCode>General</c:formatCode>
                <c:ptCount val="4"/>
                <c:pt idx="0">
                  <c:v>6.1</c:v>
                </c:pt>
                <c:pt idx="1">
                  <c:v>9.6999999999999993</c:v>
                </c:pt>
                <c:pt idx="2">
                  <c:v>7.8</c:v>
                </c:pt>
                <c:pt idx="3">
                  <c:v>7.7</c:v>
                </c:pt>
              </c:numCache>
            </c:numRef>
          </c:val>
          <c:smooth val="0"/>
        </c:ser>
        <c:ser>
          <c:idx val="6"/>
          <c:order val="6"/>
          <c:tx>
            <c:strRef>
              <c:f>Sheet1!$H$1</c:f>
              <c:strCache>
                <c:ptCount val="1"/>
                <c:pt idx="0">
                  <c:v>Minnesota</c:v>
                </c:pt>
              </c:strCache>
            </c:strRef>
          </c:tx>
          <c:marker>
            <c:symbol val="none"/>
          </c:marker>
          <c:cat>
            <c:strRef>
              <c:f>Sheet1!$A$2:$A$5</c:f>
              <c:strCache>
                <c:ptCount val="4"/>
                <c:pt idx="0">
                  <c:v>1994-1998</c:v>
                </c:pt>
                <c:pt idx="1">
                  <c:v>1999-2003</c:v>
                </c:pt>
                <c:pt idx="2">
                  <c:v>2004-2008</c:v>
                </c:pt>
                <c:pt idx="3">
                  <c:v>2009-2013</c:v>
                </c:pt>
              </c:strCache>
            </c:strRef>
          </c:cat>
          <c:val>
            <c:numRef>
              <c:f>Sheet1!$H$2:$H$5</c:f>
              <c:numCache>
                <c:formatCode>General</c:formatCode>
                <c:ptCount val="4"/>
                <c:pt idx="0">
                  <c:v>7.4</c:v>
                </c:pt>
                <c:pt idx="1">
                  <c:v>7.1</c:v>
                </c:pt>
                <c:pt idx="2">
                  <c:v>8.4</c:v>
                </c:pt>
                <c:pt idx="3">
                  <c:v>8</c:v>
                </c:pt>
              </c:numCache>
            </c:numRef>
          </c:val>
          <c:smooth val="0"/>
        </c:ser>
        <c:dLbls>
          <c:showLegendKey val="0"/>
          <c:showVal val="0"/>
          <c:showCatName val="0"/>
          <c:showSerName val="0"/>
          <c:showPercent val="0"/>
          <c:showBubbleSize val="0"/>
        </c:dLbls>
        <c:smooth val="0"/>
        <c:axId val="351396040"/>
        <c:axId val="351396432"/>
      </c:lineChart>
      <c:catAx>
        <c:axId val="351396040"/>
        <c:scaling>
          <c:orientation val="minMax"/>
        </c:scaling>
        <c:delete val="0"/>
        <c:axPos val="b"/>
        <c:numFmt formatCode="General" sourceLinked="0"/>
        <c:majorTickMark val="out"/>
        <c:minorTickMark val="none"/>
        <c:tickLblPos val="nextTo"/>
        <c:crossAx val="351396432"/>
        <c:crosses val="autoZero"/>
        <c:auto val="1"/>
        <c:lblAlgn val="ctr"/>
        <c:lblOffset val="100"/>
        <c:noMultiLvlLbl val="0"/>
      </c:catAx>
      <c:valAx>
        <c:axId val="351396432"/>
        <c:scaling>
          <c:orientation val="minMax"/>
        </c:scaling>
        <c:delete val="0"/>
        <c:axPos val="l"/>
        <c:majorGridlines/>
        <c:numFmt formatCode="General" sourceLinked="1"/>
        <c:majorTickMark val="out"/>
        <c:minorTickMark val="none"/>
        <c:tickLblPos val="nextTo"/>
        <c:crossAx val="351396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Douglas</c:v>
                </c:pt>
              </c:strCache>
            </c:strRef>
          </c:tx>
          <c:invertIfNegative val="0"/>
          <c:dLbls>
            <c:dLbl>
              <c:idx val="0"/>
              <c:layout>
                <c:manualLayout>
                  <c:x val="-1.1940298507462687E-2"/>
                  <c:y val="-3.08030803080308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3.52035203520352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Sheet1!$B$2:$B$5</c:f>
              <c:numCache>
                <c:formatCode>General</c:formatCode>
                <c:ptCount val="4"/>
                <c:pt idx="0">
                  <c:v>22.3</c:v>
                </c:pt>
                <c:pt idx="1">
                  <c:v>22.6</c:v>
                </c:pt>
                <c:pt idx="2">
                  <c:v>27.8</c:v>
                </c:pt>
                <c:pt idx="3">
                  <c:v>29.8</c:v>
                </c:pt>
              </c:numCache>
            </c:numRef>
          </c:val>
        </c:ser>
        <c:ser>
          <c:idx val="1"/>
          <c:order val="1"/>
          <c:tx>
            <c:strRef>
              <c:f>Sheet1!$C$1</c:f>
              <c:strCache>
                <c:ptCount val="1"/>
                <c:pt idx="0">
                  <c:v>Grant</c:v>
                </c:pt>
              </c:strCache>
            </c:strRef>
          </c:tx>
          <c:invertIfNegative val="0"/>
          <c:dLbls>
            <c:dLbl>
              <c:idx val="3"/>
              <c:layout>
                <c:manualLayout>
                  <c:x val="7.9601990049751239E-3"/>
                  <c:y val="1.320132013201320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Sheet1!$C$2:$C$5</c:f>
              <c:numCache>
                <c:formatCode>General</c:formatCode>
                <c:ptCount val="4"/>
                <c:pt idx="0">
                  <c:v>21.3</c:v>
                </c:pt>
                <c:pt idx="1">
                  <c:v>22.1</c:v>
                </c:pt>
                <c:pt idx="2">
                  <c:v>25</c:v>
                </c:pt>
                <c:pt idx="3">
                  <c:v>27.4</c:v>
                </c:pt>
              </c:numCache>
            </c:numRef>
          </c:val>
        </c:ser>
        <c:ser>
          <c:idx val="2"/>
          <c:order val="2"/>
          <c:tx>
            <c:strRef>
              <c:f>Sheet1!$D$1</c:f>
              <c:strCache>
                <c:ptCount val="1"/>
                <c:pt idx="0">
                  <c:v>Pope</c:v>
                </c:pt>
              </c:strCache>
            </c:strRef>
          </c:tx>
          <c:invertIfNegative val="0"/>
          <c:dLbls>
            <c:dLbl>
              <c:idx val="1"/>
              <c:layout>
                <c:manualLayout>
                  <c:x val="3.648382397522147E-17"/>
                  <c:y val="2.20022002200220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9800995024875619E-3"/>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601990049751239E-3"/>
                  <c:y val="1.32013201320131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Sheet1!$D$2:$D$5</c:f>
              <c:numCache>
                <c:formatCode>General</c:formatCode>
                <c:ptCount val="4"/>
                <c:pt idx="0">
                  <c:v>19.2</c:v>
                </c:pt>
                <c:pt idx="1">
                  <c:v>19.8</c:v>
                </c:pt>
                <c:pt idx="2">
                  <c:v>25.7</c:v>
                </c:pt>
                <c:pt idx="3">
                  <c:v>25.7</c:v>
                </c:pt>
              </c:numCache>
            </c:numRef>
          </c:val>
        </c:ser>
        <c:ser>
          <c:idx val="3"/>
          <c:order val="3"/>
          <c:tx>
            <c:strRef>
              <c:f>Sheet1!$E$1</c:f>
              <c:strCache>
                <c:ptCount val="1"/>
                <c:pt idx="0">
                  <c:v>Stevens</c:v>
                </c:pt>
              </c:strCache>
            </c:strRef>
          </c:tx>
          <c:invertIfNegative val="0"/>
          <c:dLbls>
            <c:dLbl>
              <c:idx val="1"/>
              <c:layout>
                <c:manualLayout>
                  <c:x val="-5.9701492537313069E-3"/>
                  <c:y val="8.3608360836083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84048404840484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Sheet1!$E$2:$E$5</c:f>
              <c:numCache>
                <c:formatCode>General</c:formatCode>
                <c:ptCount val="4"/>
                <c:pt idx="0">
                  <c:v>16.600000000000001</c:v>
                </c:pt>
                <c:pt idx="1">
                  <c:v>18.8</c:v>
                </c:pt>
                <c:pt idx="2">
                  <c:v>19.600000000000001</c:v>
                </c:pt>
                <c:pt idx="3">
                  <c:v>22.2</c:v>
                </c:pt>
              </c:numCache>
            </c:numRef>
          </c:val>
        </c:ser>
        <c:ser>
          <c:idx val="4"/>
          <c:order val="4"/>
          <c:tx>
            <c:strRef>
              <c:f>Sheet1!$F$1</c:f>
              <c:strCache>
                <c:ptCount val="1"/>
                <c:pt idx="0">
                  <c:v>Traverse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Sheet1!$F$2:$F$5</c:f>
              <c:numCache>
                <c:formatCode>General</c:formatCode>
                <c:ptCount val="4"/>
                <c:pt idx="0">
                  <c:v>23.3</c:v>
                </c:pt>
                <c:pt idx="1">
                  <c:v>24.1</c:v>
                </c:pt>
                <c:pt idx="2">
                  <c:v>28</c:v>
                </c:pt>
                <c:pt idx="3">
                  <c:v>34.299999999999997</c:v>
                </c:pt>
              </c:numCache>
            </c:numRef>
          </c:val>
        </c:ser>
        <c:ser>
          <c:idx val="5"/>
          <c:order val="5"/>
          <c:tx>
            <c:strRef>
              <c:f>Sheet1!$G$1</c:f>
              <c:strCache>
                <c:ptCount val="1"/>
                <c:pt idx="0">
                  <c:v>CHB</c:v>
                </c:pt>
              </c:strCache>
            </c:strRef>
          </c:tx>
          <c:invertIfNegative val="0"/>
          <c:dLbls>
            <c:dLbl>
              <c:idx val="1"/>
              <c:layout>
                <c:manualLayout>
                  <c:x val="3.9800995024875619E-3"/>
                  <c:y val="5.28052805280528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601990049751239E-3"/>
                  <c:y val="2.64026402640264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Sheet1!$G$2:$G$5</c:f>
              <c:numCache>
                <c:formatCode>General</c:formatCode>
                <c:ptCount val="4"/>
                <c:pt idx="0">
                  <c:v>21</c:v>
                </c:pt>
                <c:pt idx="1">
                  <c:v>21.6</c:v>
                </c:pt>
                <c:pt idx="2">
                  <c:v>26</c:v>
                </c:pt>
                <c:pt idx="3">
                  <c:v>27.9</c:v>
                </c:pt>
              </c:numCache>
            </c:numRef>
          </c:val>
        </c:ser>
        <c:ser>
          <c:idx val="6"/>
          <c:order val="6"/>
          <c:tx>
            <c:strRef>
              <c:f>Sheet1!$H$1</c:f>
              <c:strCache>
                <c:ptCount val="1"/>
                <c:pt idx="0">
                  <c:v>Minnesota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1994-1998</c:v>
                </c:pt>
                <c:pt idx="1">
                  <c:v>1999-2003</c:v>
                </c:pt>
                <c:pt idx="2">
                  <c:v>2004-2008</c:v>
                </c:pt>
                <c:pt idx="3">
                  <c:v>2009-2013</c:v>
                </c:pt>
              </c:strCache>
            </c:strRef>
          </c:cat>
          <c:val>
            <c:numRef>
              <c:f>Sheet1!$H$2:$H$5</c:f>
              <c:numCache>
                <c:formatCode>General</c:formatCode>
                <c:ptCount val="4"/>
                <c:pt idx="0">
                  <c:v>24.8</c:v>
                </c:pt>
                <c:pt idx="1">
                  <c:v>26.5</c:v>
                </c:pt>
                <c:pt idx="2">
                  <c:v>31.3</c:v>
                </c:pt>
                <c:pt idx="3">
                  <c:v>33.1</c:v>
                </c:pt>
              </c:numCache>
            </c:numRef>
          </c:val>
        </c:ser>
        <c:dLbls>
          <c:showLegendKey val="0"/>
          <c:showVal val="0"/>
          <c:showCatName val="0"/>
          <c:showSerName val="0"/>
          <c:showPercent val="0"/>
          <c:showBubbleSize val="0"/>
        </c:dLbls>
        <c:gapWidth val="150"/>
        <c:axId val="351397216"/>
        <c:axId val="351837760"/>
      </c:barChart>
      <c:catAx>
        <c:axId val="351397216"/>
        <c:scaling>
          <c:orientation val="minMax"/>
        </c:scaling>
        <c:delete val="0"/>
        <c:axPos val="b"/>
        <c:numFmt formatCode="General" sourceLinked="0"/>
        <c:majorTickMark val="out"/>
        <c:minorTickMark val="none"/>
        <c:tickLblPos val="nextTo"/>
        <c:crossAx val="351837760"/>
        <c:crosses val="autoZero"/>
        <c:auto val="1"/>
        <c:lblAlgn val="ctr"/>
        <c:lblOffset val="100"/>
        <c:noMultiLvlLbl val="0"/>
      </c:catAx>
      <c:valAx>
        <c:axId val="351837760"/>
        <c:scaling>
          <c:orientation val="minMax"/>
        </c:scaling>
        <c:delete val="0"/>
        <c:axPos val="l"/>
        <c:majorGridlines/>
        <c:numFmt formatCode="General" sourceLinked="1"/>
        <c:majorTickMark val="out"/>
        <c:minorTickMark val="none"/>
        <c:tickLblPos val="nextTo"/>
        <c:crossAx val="3513972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Douglas</c:v>
                </c:pt>
              </c:strCache>
            </c:strRef>
          </c:tx>
          <c:invertIfNegative val="0"/>
          <c:cat>
            <c:numRef>
              <c:f>Sheet1!$A$2:$A$4</c:f>
              <c:numCache>
                <c:formatCode>General</c:formatCode>
                <c:ptCount val="3"/>
                <c:pt idx="0">
                  <c:v>2012</c:v>
                </c:pt>
                <c:pt idx="1">
                  <c:v>2013</c:v>
                </c:pt>
                <c:pt idx="2">
                  <c:v>2014</c:v>
                </c:pt>
              </c:numCache>
            </c:numRef>
          </c:cat>
          <c:val>
            <c:numRef>
              <c:f>Sheet1!$B$2:$B$4</c:f>
              <c:numCache>
                <c:formatCode>General</c:formatCode>
                <c:ptCount val="3"/>
                <c:pt idx="0">
                  <c:v>80</c:v>
                </c:pt>
                <c:pt idx="1">
                  <c:v>82</c:v>
                </c:pt>
                <c:pt idx="2">
                  <c:v>80</c:v>
                </c:pt>
              </c:numCache>
            </c:numRef>
          </c:val>
        </c:ser>
        <c:ser>
          <c:idx val="1"/>
          <c:order val="1"/>
          <c:tx>
            <c:strRef>
              <c:f>Sheet1!$C$1</c:f>
              <c:strCache>
                <c:ptCount val="1"/>
                <c:pt idx="0">
                  <c:v>Grant</c:v>
                </c:pt>
              </c:strCache>
            </c:strRef>
          </c:tx>
          <c:invertIfNegative val="0"/>
          <c:cat>
            <c:numRef>
              <c:f>Sheet1!$A$2:$A$4</c:f>
              <c:numCache>
                <c:formatCode>General</c:formatCode>
                <c:ptCount val="3"/>
                <c:pt idx="0">
                  <c:v>2012</c:v>
                </c:pt>
                <c:pt idx="1">
                  <c:v>2013</c:v>
                </c:pt>
                <c:pt idx="2">
                  <c:v>2014</c:v>
                </c:pt>
              </c:numCache>
            </c:numRef>
          </c:cat>
          <c:val>
            <c:numRef>
              <c:f>Sheet1!$C$2:$C$4</c:f>
              <c:numCache>
                <c:formatCode>General</c:formatCode>
                <c:ptCount val="3"/>
                <c:pt idx="0">
                  <c:v>21</c:v>
                </c:pt>
                <c:pt idx="1">
                  <c:v>21</c:v>
                </c:pt>
                <c:pt idx="2">
                  <c:v>19</c:v>
                </c:pt>
              </c:numCache>
            </c:numRef>
          </c:val>
        </c:ser>
        <c:ser>
          <c:idx val="2"/>
          <c:order val="2"/>
          <c:tx>
            <c:strRef>
              <c:f>Sheet1!$D$1</c:f>
              <c:strCache>
                <c:ptCount val="1"/>
                <c:pt idx="0">
                  <c:v>Pope</c:v>
                </c:pt>
              </c:strCache>
            </c:strRef>
          </c:tx>
          <c:invertIfNegative val="0"/>
          <c:cat>
            <c:numRef>
              <c:f>Sheet1!$A$2:$A$4</c:f>
              <c:numCache>
                <c:formatCode>General</c:formatCode>
                <c:ptCount val="3"/>
                <c:pt idx="0">
                  <c:v>2012</c:v>
                </c:pt>
                <c:pt idx="1">
                  <c:v>2013</c:v>
                </c:pt>
                <c:pt idx="2">
                  <c:v>2014</c:v>
                </c:pt>
              </c:numCache>
            </c:numRef>
          </c:cat>
          <c:val>
            <c:numRef>
              <c:f>Sheet1!$D$2:$D$4</c:f>
              <c:numCache>
                <c:formatCode>General</c:formatCode>
                <c:ptCount val="3"/>
                <c:pt idx="0">
                  <c:v>34</c:v>
                </c:pt>
                <c:pt idx="1">
                  <c:v>33</c:v>
                </c:pt>
                <c:pt idx="2">
                  <c:v>32</c:v>
                </c:pt>
              </c:numCache>
            </c:numRef>
          </c:val>
        </c:ser>
        <c:ser>
          <c:idx val="3"/>
          <c:order val="3"/>
          <c:tx>
            <c:strRef>
              <c:f>Sheet1!$E$1</c:f>
              <c:strCache>
                <c:ptCount val="1"/>
                <c:pt idx="0">
                  <c:v>Stevens</c:v>
                </c:pt>
              </c:strCache>
            </c:strRef>
          </c:tx>
          <c:invertIfNegative val="0"/>
          <c:cat>
            <c:numRef>
              <c:f>Sheet1!$A$2:$A$4</c:f>
              <c:numCache>
                <c:formatCode>General</c:formatCode>
                <c:ptCount val="3"/>
                <c:pt idx="0">
                  <c:v>2012</c:v>
                </c:pt>
                <c:pt idx="1">
                  <c:v>2013</c:v>
                </c:pt>
                <c:pt idx="2">
                  <c:v>2014</c:v>
                </c:pt>
              </c:numCache>
            </c:numRef>
          </c:cat>
          <c:val>
            <c:numRef>
              <c:f>Sheet1!$E$2:$E$4</c:f>
              <c:numCache>
                <c:formatCode>General</c:formatCode>
                <c:ptCount val="3"/>
                <c:pt idx="0">
                  <c:v>25</c:v>
                </c:pt>
                <c:pt idx="1">
                  <c:v>27</c:v>
                </c:pt>
                <c:pt idx="2">
                  <c:v>27</c:v>
                </c:pt>
              </c:numCache>
            </c:numRef>
          </c:val>
        </c:ser>
        <c:ser>
          <c:idx val="4"/>
          <c:order val="4"/>
          <c:tx>
            <c:strRef>
              <c:f>Sheet1!$F$1</c:f>
              <c:strCache>
                <c:ptCount val="1"/>
                <c:pt idx="0">
                  <c:v>Traverse</c:v>
                </c:pt>
              </c:strCache>
            </c:strRef>
          </c:tx>
          <c:invertIfNegative val="0"/>
          <c:cat>
            <c:numRef>
              <c:f>Sheet1!$A$2:$A$4</c:f>
              <c:numCache>
                <c:formatCode>General</c:formatCode>
                <c:ptCount val="3"/>
                <c:pt idx="0">
                  <c:v>2012</c:v>
                </c:pt>
                <c:pt idx="1">
                  <c:v>2013</c:v>
                </c:pt>
                <c:pt idx="2">
                  <c:v>2014</c:v>
                </c:pt>
              </c:numCache>
            </c:numRef>
          </c:cat>
          <c:val>
            <c:numRef>
              <c:f>Sheet1!$F$2:$F$4</c:f>
              <c:numCache>
                <c:formatCode>General</c:formatCode>
                <c:ptCount val="3"/>
                <c:pt idx="0">
                  <c:v>10</c:v>
                </c:pt>
                <c:pt idx="1">
                  <c:v>10</c:v>
                </c:pt>
                <c:pt idx="2">
                  <c:v>9</c:v>
                </c:pt>
              </c:numCache>
            </c:numRef>
          </c:val>
        </c:ser>
        <c:dLbls>
          <c:showLegendKey val="0"/>
          <c:showVal val="0"/>
          <c:showCatName val="0"/>
          <c:showSerName val="0"/>
          <c:showPercent val="0"/>
          <c:showBubbleSize val="0"/>
        </c:dLbls>
        <c:gapWidth val="150"/>
        <c:axId val="351838936"/>
        <c:axId val="351839328"/>
      </c:barChart>
      <c:catAx>
        <c:axId val="351838936"/>
        <c:scaling>
          <c:orientation val="minMax"/>
        </c:scaling>
        <c:delete val="0"/>
        <c:axPos val="b"/>
        <c:numFmt formatCode="General" sourceLinked="1"/>
        <c:majorTickMark val="out"/>
        <c:minorTickMark val="none"/>
        <c:tickLblPos val="nextTo"/>
        <c:crossAx val="351839328"/>
        <c:crosses val="autoZero"/>
        <c:auto val="1"/>
        <c:lblAlgn val="ctr"/>
        <c:lblOffset val="100"/>
        <c:noMultiLvlLbl val="0"/>
      </c:catAx>
      <c:valAx>
        <c:axId val="351839328"/>
        <c:scaling>
          <c:orientation val="minMax"/>
        </c:scaling>
        <c:delete val="0"/>
        <c:axPos val="l"/>
        <c:majorGridlines/>
        <c:numFmt formatCode="General" sourceLinked="1"/>
        <c:majorTickMark val="out"/>
        <c:minorTickMark val="none"/>
        <c:tickLblPos val="nextTo"/>
        <c:crossAx val="351838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5th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Males</c:v>
                </c:pt>
                <c:pt idx="1">
                  <c:v>Females</c:v>
                </c:pt>
              </c:strCache>
            </c:strRef>
          </c:cat>
          <c:val>
            <c:numRef>
              <c:f>Sheet1!$B$2:$B$3</c:f>
              <c:numCache>
                <c:formatCode>General</c:formatCode>
                <c:ptCount val="2"/>
                <c:pt idx="0">
                  <c:v>53</c:v>
                </c:pt>
                <c:pt idx="1">
                  <c:v>38</c:v>
                </c:pt>
              </c:numCache>
            </c:numRef>
          </c:val>
        </c:ser>
        <c:ser>
          <c:idx val="1"/>
          <c:order val="1"/>
          <c:tx>
            <c:strRef>
              <c:f>Sheet1!$C$1</c:f>
              <c:strCache>
                <c:ptCount val="1"/>
                <c:pt idx="0">
                  <c:v>8th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Males</c:v>
                </c:pt>
                <c:pt idx="1">
                  <c:v>Females</c:v>
                </c:pt>
              </c:strCache>
            </c:strRef>
          </c:cat>
          <c:val>
            <c:numRef>
              <c:f>Sheet1!$C$2:$C$3</c:f>
              <c:numCache>
                <c:formatCode>General</c:formatCode>
                <c:ptCount val="2"/>
                <c:pt idx="0">
                  <c:v>66</c:v>
                </c:pt>
                <c:pt idx="1">
                  <c:v>53</c:v>
                </c:pt>
              </c:numCache>
            </c:numRef>
          </c:val>
        </c:ser>
        <c:ser>
          <c:idx val="2"/>
          <c:order val="2"/>
          <c:tx>
            <c:strRef>
              <c:f>Sheet1!$D$1</c:f>
              <c:strCache>
                <c:ptCount val="1"/>
                <c:pt idx="0">
                  <c:v>9th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Males</c:v>
                </c:pt>
                <c:pt idx="1">
                  <c:v>Females</c:v>
                </c:pt>
              </c:strCache>
            </c:strRef>
          </c:cat>
          <c:val>
            <c:numRef>
              <c:f>Sheet1!$D$2:$D$3</c:f>
              <c:numCache>
                <c:formatCode>General</c:formatCode>
                <c:ptCount val="2"/>
                <c:pt idx="0">
                  <c:v>61</c:v>
                </c:pt>
                <c:pt idx="1">
                  <c:v>44</c:v>
                </c:pt>
              </c:numCache>
            </c:numRef>
          </c:val>
        </c:ser>
        <c:ser>
          <c:idx val="3"/>
          <c:order val="3"/>
          <c:tx>
            <c:strRef>
              <c:f>Sheet1!$E$1</c:f>
              <c:strCache>
                <c:ptCount val="1"/>
                <c:pt idx="0">
                  <c:v>11th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Males</c:v>
                </c:pt>
                <c:pt idx="1">
                  <c:v>Females</c:v>
                </c:pt>
              </c:strCache>
            </c:strRef>
          </c:cat>
          <c:val>
            <c:numRef>
              <c:f>Sheet1!$E$2:$E$3</c:f>
              <c:numCache>
                <c:formatCode>General</c:formatCode>
                <c:ptCount val="2"/>
                <c:pt idx="0">
                  <c:v>53</c:v>
                </c:pt>
                <c:pt idx="1">
                  <c:v>45</c:v>
                </c:pt>
              </c:numCache>
            </c:numRef>
          </c:val>
        </c:ser>
        <c:dLbls>
          <c:showLegendKey val="0"/>
          <c:showVal val="0"/>
          <c:showCatName val="0"/>
          <c:showSerName val="0"/>
          <c:showPercent val="0"/>
          <c:showBubbleSize val="0"/>
        </c:dLbls>
        <c:gapWidth val="150"/>
        <c:axId val="351839720"/>
        <c:axId val="351840112"/>
      </c:barChart>
      <c:catAx>
        <c:axId val="351839720"/>
        <c:scaling>
          <c:orientation val="minMax"/>
        </c:scaling>
        <c:delete val="0"/>
        <c:axPos val="b"/>
        <c:numFmt formatCode="General" sourceLinked="0"/>
        <c:majorTickMark val="out"/>
        <c:minorTickMark val="none"/>
        <c:tickLblPos val="nextTo"/>
        <c:crossAx val="351840112"/>
        <c:crosses val="autoZero"/>
        <c:auto val="1"/>
        <c:lblAlgn val="ctr"/>
        <c:lblOffset val="100"/>
        <c:noMultiLvlLbl val="0"/>
      </c:catAx>
      <c:valAx>
        <c:axId val="351840112"/>
        <c:scaling>
          <c:orientation val="minMax"/>
        </c:scaling>
        <c:delete val="0"/>
        <c:axPos val="l"/>
        <c:majorGridlines/>
        <c:numFmt formatCode="General" sourceLinked="1"/>
        <c:majorTickMark val="out"/>
        <c:minorTickMark val="none"/>
        <c:tickLblPos val="nextTo"/>
        <c:crossAx val="351839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 of Students by grade</c:v>
                </c:pt>
              </c:strCache>
            </c:strRef>
          </c:tx>
          <c:invertIfNegative val="0"/>
          <c:dPt>
            <c:idx val="1"/>
            <c:invertIfNegative val="0"/>
            <c:bubble3D val="0"/>
            <c:spPr>
              <a:solidFill>
                <a:schemeClr val="accent2"/>
              </a:solidFill>
            </c:spPr>
          </c:dPt>
          <c:dPt>
            <c:idx val="2"/>
            <c:invertIfNegative val="0"/>
            <c:bubble3D val="0"/>
            <c:spPr>
              <a:solidFill>
                <a:schemeClr val="accent3"/>
              </a:solidFill>
            </c:spPr>
          </c:dPt>
          <c:dPt>
            <c:idx val="3"/>
            <c:invertIfNegative val="0"/>
            <c:bubble3D val="0"/>
            <c:spPr>
              <a:solidFill>
                <a:schemeClr val="accent4"/>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5th grade</c:v>
                </c:pt>
                <c:pt idx="1">
                  <c:v>8th grade</c:v>
                </c:pt>
                <c:pt idx="2">
                  <c:v>9th grade</c:v>
                </c:pt>
                <c:pt idx="3">
                  <c:v>11th grade</c:v>
                </c:pt>
              </c:strCache>
            </c:strRef>
          </c:cat>
          <c:val>
            <c:numRef>
              <c:f>Sheet1!$B$2:$B$5</c:f>
              <c:numCache>
                <c:formatCode>General</c:formatCode>
                <c:ptCount val="4"/>
                <c:pt idx="0">
                  <c:v>50</c:v>
                </c:pt>
                <c:pt idx="1">
                  <c:v>60</c:v>
                </c:pt>
                <c:pt idx="2">
                  <c:v>61</c:v>
                </c:pt>
                <c:pt idx="3">
                  <c:v>41</c:v>
                </c:pt>
              </c:numCache>
            </c:numRef>
          </c:val>
        </c:ser>
        <c:dLbls>
          <c:showLegendKey val="0"/>
          <c:showVal val="0"/>
          <c:showCatName val="0"/>
          <c:showSerName val="0"/>
          <c:showPercent val="0"/>
          <c:showBubbleSize val="0"/>
        </c:dLbls>
        <c:gapWidth val="150"/>
        <c:axId val="351840896"/>
        <c:axId val="351841288"/>
      </c:barChart>
      <c:catAx>
        <c:axId val="351840896"/>
        <c:scaling>
          <c:orientation val="minMax"/>
        </c:scaling>
        <c:delete val="0"/>
        <c:axPos val="b"/>
        <c:numFmt formatCode="General" sourceLinked="1"/>
        <c:majorTickMark val="out"/>
        <c:minorTickMark val="none"/>
        <c:tickLblPos val="nextTo"/>
        <c:crossAx val="351841288"/>
        <c:crosses val="autoZero"/>
        <c:auto val="1"/>
        <c:lblAlgn val="ctr"/>
        <c:lblOffset val="100"/>
        <c:noMultiLvlLbl val="0"/>
      </c:catAx>
      <c:valAx>
        <c:axId val="351841288"/>
        <c:scaling>
          <c:orientation val="minMax"/>
        </c:scaling>
        <c:delete val="0"/>
        <c:axPos val="l"/>
        <c:majorGridlines/>
        <c:numFmt formatCode="General" sourceLinked="1"/>
        <c:majorTickMark val="out"/>
        <c:minorTickMark val="none"/>
        <c:tickLblPos val="nextTo"/>
        <c:crossAx val="351840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5th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Sheet1!$B$2:$B$3</c:f>
              <c:numCache>
                <c:formatCode>General</c:formatCode>
                <c:ptCount val="2"/>
                <c:pt idx="0">
                  <c:v>76</c:v>
                </c:pt>
                <c:pt idx="1">
                  <c:v>72</c:v>
                </c:pt>
              </c:numCache>
            </c:numRef>
          </c:val>
        </c:ser>
        <c:ser>
          <c:idx val="1"/>
          <c:order val="1"/>
          <c:tx>
            <c:strRef>
              <c:f>Sheet1!$C$1</c:f>
              <c:strCache>
                <c:ptCount val="1"/>
                <c:pt idx="0">
                  <c:v>8th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Sheet1!$C$2:$C$3</c:f>
              <c:numCache>
                <c:formatCode>General</c:formatCode>
                <c:ptCount val="2"/>
                <c:pt idx="0">
                  <c:v>61</c:v>
                </c:pt>
                <c:pt idx="1">
                  <c:v>69</c:v>
                </c:pt>
              </c:numCache>
            </c:numRef>
          </c:val>
        </c:ser>
        <c:ser>
          <c:idx val="2"/>
          <c:order val="2"/>
          <c:tx>
            <c:strRef>
              <c:f>Sheet1!$D$1</c:f>
              <c:strCache>
                <c:ptCount val="1"/>
                <c:pt idx="0">
                  <c:v>9th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Sheet1!$D$2:$D$3</c:f>
              <c:numCache>
                <c:formatCode>General</c:formatCode>
                <c:ptCount val="2"/>
                <c:pt idx="0">
                  <c:v>77</c:v>
                </c:pt>
                <c:pt idx="1">
                  <c:v>72</c:v>
                </c:pt>
              </c:numCache>
            </c:numRef>
          </c:val>
        </c:ser>
        <c:ser>
          <c:idx val="3"/>
          <c:order val="3"/>
          <c:tx>
            <c:strRef>
              <c:f>Sheet1!$E$1</c:f>
              <c:strCache>
                <c:ptCount val="1"/>
                <c:pt idx="0">
                  <c:v>11th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Sheet1!$E$2:$E$3</c:f>
              <c:numCache>
                <c:formatCode>General</c:formatCode>
                <c:ptCount val="2"/>
                <c:pt idx="0">
                  <c:v>79</c:v>
                </c:pt>
                <c:pt idx="1">
                  <c:v>59</c:v>
                </c:pt>
              </c:numCache>
            </c:numRef>
          </c:val>
        </c:ser>
        <c:dLbls>
          <c:showLegendKey val="0"/>
          <c:showVal val="0"/>
          <c:showCatName val="0"/>
          <c:showSerName val="0"/>
          <c:showPercent val="0"/>
          <c:showBubbleSize val="0"/>
        </c:dLbls>
        <c:gapWidth val="150"/>
        <c:axId val="351995064"/>
        <c:axId val="351995456"/>
      </c:barChart>
      <c:catAx>
        <c:axId val="351995064"/>
        <c:scaling>
          <c:orientation val="minMax"/>
        </c:scaling>
        <c:delete val="0"/>
        <c:axPos val="b"/>
        <c:numFmt formatCode="General" sourceLinked="0"/>
        <c:majorTickMark val="out"/>
        <c:minorTickMark val="none"/>
        <c:tickLblPos val="nextTo"/>
        <c:crossAx val="351995456"/>
        <c:crosses val="autoZero"/>
        <c:auto val="1"/>
        <c:lblAlgn val="ctr"/>
        <c:lblOffset val="100"/>
        <c:noMultiLvlLbl val="0"/>
      </c:catAx>
      <c:valAx>
        <c:axId val="351995456"/>
        <c:scaling>
          <c:orientation val="minMax"/>
        </c:scaling>
        <c:delete val="0"/>
        <c:axPos val="l"/>
        <c:majorGridlines/>
        <c:numFmt formatCode="General" sourceLinked="1"/>
        <c:majorTickMark val="out"/>
        <c:minorTickMark val="none"/>
        <c:tickLblPos val="nextTo"/>
        <c:crossAx val="351995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5th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Sheet1!$B$2:$B$3</c:f>
              <c:numCache>
                <c:formatCode>General</c:formatCode>
                <c:ptCount val="2"/>
                <c:pt idx="0">
                  <c:v>73</c:v>
                </c:pt>
                <c:pt idx="1">
                  <c:v>70</c:v>
                </c:pt>
              </c:numCache>
            </c:numRef>
          </c:val>
        </c:ser>
        <c:ser>
          <c:idx val="1"/>
          <c:order val="1"/>
          <c:tx>
            <c:strRef>
              <c:f>Sheet1!$C$1</c:f>
              <c:strCache>
                <c:ptCount val="1"/>
                <c:pt idx="0">
                  <c:v>8th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Sheet1!$C$2:$C$3</c:f>
              <c:numCache>
                <c:formatCode>General</c:formatCode>
                <c:ptCount val="2"/>
                <c:pt idx="0">
                  <c:v>69</c:v>
                </c:pt>
                <c:pt idx="1">
                  <c:v>63</c:v>
                </c:pt>
              </c:numCache>
            </c:numRef>
          </c:val>
        </c:ser>
        <c:ser>
          <c:idx val="2"/>
          <c:order val="2"/>
          <c:tx>
            <c:strRef>
              <c:f>Sheet1!$D$1</c:f>
              <c:strCache>
                <c:ptCount val="1"/>
                <c:pt idx="0">
                  <c:v>9th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Sheet1!$D$2:$D$3</c:f>
              <c:numCache>
                <c:formatCode>General</c:formatCode>
                <c:ptCount val="2"/>
                <c:pt idx="0">
                  <c:v>69</c:v>
                </c:pt>
                <c:pt idx="1">
                  <c:v>45</c:v>
                </c:pt>
              </c:numCache>
            </c:numRef>
          </c:val>
        </c:ser>
        <c:ser>
          <c:idx val="3"/>
          <c:order val="3"/>
          <c:tx>
            <c:strRef>
              <c:f>Sheet1!$E$1</c:f>
              <c:strCache>
                <c:ptCount val="1"/>
                <c:pt idx="0">
                  <c:v>11th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Male</c:v>
                </c:pt>
                <c:pt idx="1">
                  <c:v>Female</c:v>
                </c:pt>
              </c:strCache>
            </c:strRef>
          </c:cat>
          <c:val>
            <c:numRef>
              <c:f>Sheet1!$E$2:$E$3</c:f>
              <c:numCache>
                <c:formatCode>General</c:formatCode>
                <c:ptCount val="2"/>
                <c:pt idx="0">
                  <c:v>52</c:v>
                </c:pt>
                <c:pt idx="1">
                  <c:v>59</c:v>
                </c:pt>
              </c:numCache>
            </c:numRef>
          </c:val>
        </c:ser>
        <c:dLbls>
          <c:showLegendKey val="0"/>
          <c:showVal val="0"/>
          <c:showCatName val="0"/>
          <c:showSerName val="0"/>
          <c:showPercent val="0"/>
          <c:showBubbleSize val="0"/>
        </c:dLbls>
        <c:gapWidth val="150"/>
        <c:axId val="351996240"/>
        <c:axId val="351996632"/>
      </c:barChart>
      <c:catAx>
        <c:axId val="351996240"/>
        <c:scaling>
          <c:orientation val="minMax"/>
        </c:scaling>
        <c:delete val="0"/>
        <c:axPos val="b"/>
        <c:numFmt formatCode="General" sourceLinked="0"/>
        <c:majorTickMark val="out"/>
        <c:minorTickMark val="none"/>
        <c:tickLblPos val="nextTo"/>
        <c:crossAx val="351996632"/>
        <c:crosses val="autoZero"/>
        <c:auto val="1"/>
        <c:lblAlgn val="ctr"/>
        <c:lblOffset val="100"/>
        <c:noMultiLvlLbl val="0"/>
      </c:catAx>
      <c:valAx>
        <c:axId val="351996632"/>
        <c:scaling>
          <c:orientation val="minMax"/>
        </c:scaling>
        <c:delete val="0"/>
        <c:axPos val="l"/>
        <c:majorGridlines/>
        <c:numFmt formatCode="General" sourceLinked="1"/>
        <c:majorTickMark val="out"/>
        <c:minorTickMark val="none"/>
        <c:tickLblPos val="nextTo"/>
        <c:crossAx val="3519962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5th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Percent of Student</c:v>
                </c:pt>
              </c:strCache>
            </c:strRef>
          </c:cat>
          <c:val>
            <c:numRef>
              <c:f>Sheet1!$B$2</c:f>
              <c:numCache>
                <c:formatCode>General</c:formatCode>
                <c:ptCount val="1"/>
                <c:pt idx="0">
                  <c:v>47</c:v>
                </c:pt>
              </c:numCache>
            </c:numRef>
          </c:val>
        </c:ser>
        <c:ser>
          <c:idx val="1"/>
          <c:order val="1"/>
          <c:tx>
            <c:strRef>
              <c:f>Sheet1!$C$1</c:f>
              <c:strCache>
                <c:ptCount val="1"/>
                <c:pt idx="0">
                  <c:v>8th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Percent of Student</c:v>
                </c:pt>
              </c:strCache>
            </c:strRef>
          </c:cat>
          <c:val>
            <c:numRef>
              <c:f>Sheet1!$C$2</c:f>
              <c:numCache>
                <c:formatCode>General</c:formatCode>
                <c:ptCount val="1"/>
                <c:pt idx="0">
                  <c:v>46</c:v>
                </c:pt>
              </c:numCache>
            </c:numRef>
          </c:val>
        </c:ser>
        <c:ser>
          <c:idx val="2"/>
          <c:order val="2"/>
          <c:tx>
            <c:strRef>
              <c:f>Sheet1!$D$1</c:f>
              <c:strCache>
                <c:ptCount val="1"/>
                <c:pt idx="0">
                  <c:v>9th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Percent of Student</c:v>
                </c:pt>
              </c:strCache>
            </c:strRef>
          </c:cat>
          <c:val>
            <c:numRef>
              <c:f>Sheet1!$D$2</c:f>
              <c:numCache>
                <c:formatCode>General</c:formatCode>
                <c:ptCount val="1"/>
                <c:pt idx="0">
                  <c:v>82</c:v>
                </c:pt>
              </c:numCache>
            </c:numRef>
          </c:val>
        </c:ser>
        <c:ser>
          <c:idx val="3"/>
          <c:order val="3"/>
          <c:tx>
            <c:strRef>
              <c:f>Sheet1!$E$1</c:f>
              <c:strCache>
                <c:ptCount val="1"/>
                <c:pt idx="0">
                  <c:v>11th grade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Percent of Student</c:v>
                </c:pt>
              </c:strCache>
            </c:strRef>
          </c:cat>
          <c:val>
            <c:numRef>
              <c:f>Sheet1!$E$2</c:f>
              <c:numCache>
                <c:formatCode>General</c:formatCode>
                <c:ptCount val="1"/>
                <c:pt idx="0">
                  <c:v>35</c:v>
                </c:pt>
              </c:numCache>
            </c:numRef>
          </c:val>
        </c:ser>
        <c:dLbls>
          <c:showLegendKey val="0"/>
          <c:showVal val="0"/>
          <c:showCatName val="0"/>
          <c:showSerName val="0"/>
          <c:showPercent val="0"/>
          <c:showBubbleSize val="0"/>
        </c:dLbls>
        <c:gapWidth val="150"/>
        <c:axId val="351997416"/>
        <c:axId val="351997808"/>
      </c:barChart>
      <c:catAx>
        <c:axId val="351997416"/>
        <c:scaling>
          <c:orientation val="minMax"/>
        </c:scaling>
        <c:delete val="0"/>
        <c:axPos val="b"/>
        <c:numFmt formatCode="General" sourceLinked="0"/>
        <c:majorTickMark val="out"/>
        <c:minorTickMark val="none"/>
        <c:tickLblPos val="nextTo"/>
        <c:crossAx val="351997808"/>
        <c:crosses val="autoZero"/>
        <c:auto val="1"/>
        <c:lblAlgn val="ctr"/>
        <c:lblOffset val="100"/>
        <c:noMultiLvlLbl val="0"/>
      </c:catAx>
      <c:valAx>
        <c:axId val="351997808"/>
        <c:scaling>
          <c:orientation val="minMax"/>
        </c:scaling>
        <c:delete val="0"/>
        <c:axPos val="l"/>
        <c:majorGridlines/>
        <c:numFmt formatCode="General" sourceLinked="1"/>
        <c:majorTickMark val="out"/>
        <c:minorTickMark val="none"/>
        <c:tickLblPos val="nextTo"/>
        <c:crossAx val="3519974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'[MDH-Demographics Information 2015.xlsx]tbl_1_pop_pyr'!$C$4</c:f>
              <c:strCache>
                <c:ptCount val="1"/>
                <c:pt idx="0">
                  <c:v>Male</c:v>
                </c:pt>
              </c:strCache>
            </c:strRef>
          </c:tx>
          <c:invertIfNegative val="0"/>
          <c:cat>
            <c:strRef>
              <c:f>'[MDH-Demographics Information 2015.xlsx]pyramid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'[MDH-Demographics Information 2015.xlsx]pyramid data'!$B$3:$B$20</c:f>
              <c:numCache>
                <c:formatCode>0.0</c:formatCode>
                <c:ptCount val="18"/>
                <c:pt idx="0">
                  <c:v>-2.3684918807380604</c:v>
                </c:pt>
                <c:pt idx="1">
                  <c:v>-3.140046054008792</c:v>
                </c:pt>
                <c:pt idx="2">
                  <c:v>-3.1505128741888213</c:v>
                </c:pt>
                <c:pt idx="3">
                  <c:v>-3.1834085947546278</c:v>
                </c:pt>
                <c:pt idx="4">
                  <c:v>-3.2940578366577946</c:v>
                </c:pt>
                <c:pt idx="5">
                  <c:v>-2.7856694279135144</c:v>
                </c:pt>
                <c:pt idx="6">
                  <c:v>-3.0832261730314903</c:v>
                </c:pt>
                <c:pt idx="7">
                  <c:v>-2.8095935883250096</c:v>
                </c:pt>
                <c:pt idx="8">
                  <c:v>-2.5419420437214031</c:v>
                </c:pt>
                <c:pt idx="9">
                  <c:v>-2.6884775262418135</c:v>
                </c:pt>
                <c:pt idx="10">
                  <c:v>-3.3463919375579412</c:v>
                </c:pt>
                <c:pt idx="11">
                  <c:v>-3.6454439427016356</c:v>
                </c:pt>
                <c:pt idx="12">
                  <c:v>-3.6574060229073835</c:v>
                </c:pt>
                <c:pt idx="13">
                  <c:v>-3.1310744938544812</c:v>
                </c:pt>
                <c:pt idx="14">
                  <c:v>-2.5135321032327522</c:v>
                </c:pt>
                <c:pt idx="15">
                  <c:v>-1.8077693710936331</c:v>
                </c:pt>
                <c:pt idx="16">
                  <c:v>-1.2769520619635755</c:v>
                </c:pt>
                <c:pt idx="17">
                  <c:v>-1.326295642812285</c:v>
                </c:pt>
              </c:numCache>
            </c:numRef>
          </c:val>
        </c:ser>
        <c:ser>
          <c:idx val="0"/>
          <c:order val="1"/>
          <c:tx>
            <c:strRef>
              <c:f>'[MDH-Demographics Information 2015.xlsx]tbl_1_pop_pyr'!$D$4</c:f>
              <c:strCache>
                <c:ptCount val="1"/>
                <c:pt idx="0">
                  <c:v>Female</c:v>
                </c:pt>
              </c:strCache>
            </c:strRef>
          </c:tx>
          <c:invertIfNegative val="0"/>
          <c:cat>
            <c:strRef>
              <c:f>'[MDH-Demographics Information 2015.xlsx]pyramid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'[MDH-Demographics Information 2015.xlsx]pyramid data'!$C$3:$C$20</c:f>
              <c:numCache>
                <c:formatCode>0.0</c:formatCode>
                <c:ptCount val="18"/>
                <c:pt idx="0">
                  <c:v>2.7019348664732799</c:v>
                </c:pt>
                <c:pt idx="1">
                  <c:v>2.9202428302281769</c:v>
                </c:pt>
                <c:pt idx="2">
                  <c:v>2.9157570501510213</c:v>
                </c:pt>
                <c:pt idx="3">
                  <c:v>3.0802356529800532</c:v>
                </c:pt>
                <c:pt idx="4">
                  <c:v>3.1475223541373847</c:v>
                </c:pt>
                <c:pt idx="5">
                  <c:v>2.5180178833099074</c:v>
                </c:pt>
                <c:pt idx="6">
                  <c:v>2.839498788839379</c:v>
                </c:pt>
                <c:pt idx="7">
                  <c:v>2.5658662041328988</c:v>
                </c:pt>
                <c:pt idx="8">
                  <c:v>2.4013876013038669</c:v>
                </c:pt>
                <c:pt idx="9">
                  <c:v>2.6167050450073268</c:v>
                </c:pt>
                <c:pt idx="10">
                  <c:v>3.3179819970692903</c:v>
                </c:pt>
                <c:pt idx="11">
                  <c:v>3.8787045067137176</c:v>
                </c:pt>
                <c:pt idx="12">
                  <c:v>3.4630222195639822</c:v>
                </c:pt>
                <c:pt idx="13">
                  <c:v>3.1535033942402584</c:v>
                </c:pt>
                <c:pt idx="14">
                  <c:v>2.6630581058045992</c:v>
                </c:pt>
                <c:pt idx="15">
                  <c:v>2.0410299351057151</c:v>
                </c:pt>
                <c:pt idx="16">
                  <c:v>1.6567481084960676</c:v>
                </c:pt>
                <c:pt idx="17">
                  <c:v>2.3684918807380604</c:v>
                </c:pt>
              </c:numCache>
            </c:numRef>
          </c:val>
        </c:ser>
        <c:dLbls>
          <c:showLegendKey val="0"/>
          <c:showVal val="0"/>
          <c:showCatName val="0"/>
          <c:showSerName val="0"/>
          <c:showPercent val="0"/>
          <c:showBubbleSize val="0"/>
        </c:dLbls>
        <c:gapWidth val="0"/>
        <c:overlap val="100"/>
        <c:axId val="317646240"/>
        <c:axId val="317645848"/>
      </c:barChart>
      <c:catAx>
        <c:axId val="317646240"/>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7645848"/>
        <c:crosses val="autoZero"/>
        <c:auto val="1"/>
        <c:lblAlgn val="ctr"/>
        <c:lblOffset val="100"/>
        <c:tickLblSkip val="1"/>
        <c:tickMarkSkip val="1"/>
        <c:noMultiLvlLbl val="0"/>
      </c:catAx>
      <c:valAx>
        <c:axId val="317645848"/>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7646240"/>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dPt>
          <c:dPt>
            <c:idx val="4"/>
            <c:invertIfNegative val="0"/>
            <c:bubble3D val="0"/>
            <c:spPr>
              <a:solidFill>
                <a:schemeClr val="accent2"/>
              </a:solidFill>
              <a:ln>
                <a:noFill/>
              </a:ln>
              <a:effectLst/>
            </c:spPr>
          </c:dPt>
          <c:dPt>
            <c:idx val="5"/>
            <c:invertIfNegative val="0"/>
            <c:bubble3D val="0"/>
            <c:spPr>
              <a:solidFill>
                <a:schemeClr val="accent2"/>
              </a:solidFill>
              <a:ln>
                <a:noFill/>
              </a:ln>
              <a:effectLst/>
            </c:spPr>
          </c:dPt>
          <c:dPt>
            <c:idx val="7"/>
            <c:invertIfNegative val="0"/>
            <c:bubble3D val="0"/>
            <c:spPr>
              <a:solidFill>
                <a:schemeClr val="accent3"/>
              </a:solidFill>
              <a:ln>
                <a:noFill/>
              </a:ln>
              <a:effectLst/>
            </c:spPr>
          </c:dPt>
          <c:dPt>
            <c:idx val="8"/>
            <c:invertIfNegative val="0"/>
            <c:bubble3D val="0"/>
            <c:spPr>
              <a:solidFill>
                <a:schemeClr val="accent3"/>
              </a:solidFill>
              <a:ln>
                <a:noFill/>
              </a:ln>
              <a:effectLst/>
            </c:spPr>
          </c:dPt>
          <c:dPt>
            <c:idx val="9"/>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(Sheet1!$B$3:$B$5,Sheet1!$B$12:$B$15,Sheet1!$B$22:$B$24)</c:f>
              <c:strCache>
                <c:ptCount val="10"/>
                <c:pt idx="0">
                  <c:v>Yes</c:v>
                </c:pt>
                <c:pt idx="1">
                  <c:v>No</c:v>
                </c:pt>
                <c:pt idx="3">
                  <c:v>0 days</c:v>
                </c:pt>
                <c:pt idx="4">
                  <c:v>1-4 days</c:v>
                </c:pt>
                <c:pt idx="5">
                  <c:v>5-7 days</c:v>
                </c:pt>
                <c:pt idx="7">
                  <c:v>0 days</c:v>
                </c:pt>
                <c:pt idx="8">
                  <c:v>1-2 days</c:v>
                </c:pt>
                <c:pt idx="9">
                  <c:v>3-7 days</c:v>
                </c:pt>
              </c:strCache>
            </c:strRef>
          </c:cat>
          <c:val>
            <c:numRef>
              <c:f>(Sheet1!$C$3:$C$5,Sheet1!$C$12:$C$15,Sheet1!$C$22:$C$24)</c:f>
              <c:numCache>
                <c:formatCode>###0.0</c:formatCode>
                <c:ptCount val="10"/>
                <c:pt idx="0">
                  <c:v>85.33293871211518</c:v>
                </c:pt>
                <c:pt idx="1">
                  <c:v>14.667061287884826</c:v>
                </c:pt>
                <c:pt idx="3">
                  <c:v>13.022206960646896</c:v>
                </c:pt>
                <c:pt idx="4">
                  <c:v>56.637476300780584</c:v>
                </c:pt>
                <c:pt idx="5">
                  <c:v>30.340316738572525</c:v>
                </c:pt>
                <c:pt idx="7">
                  <c:v>35.659553382284294</c:v>
                </c:pt>
                <c:pt idx="8">
                  <c:v>36.760831628744874</c:v>
                </c:pt>
                <c:pt idx="9">
                  <c:v>27.579614988970835</c:v>
                </c:pt>
              </c:numCache>
            </c:numRef>
          </c:val>
        </c:ser>
        <c:dLbls>
          <c:dLblPos val="outEnd"/>
          <c:showLegendKey val="0"/>
          <c:showVal val="1"/>
          <c:showCatName val="0"/>
          <c:showSerName val="0"/>
          <c:showPercent val="0"/>
          <c:showBubbleSize val="0"/>
        </c:dLbls>
        <c:gapWidth val="219"/>
        <c:overlap val="-27"/>
        <c:axId val="352461496"/>
        <c:axId val="352461888"/>
      </c:barChart>
      <c:catAx>
        <c:axId val="35246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1888"/>
        <c:crosses val="autoZero"/>
        <c:auto val="1"/>
        <c:lblAlgn val="ctr"/>
        <c:lblOffset val="100"/>
        <c:noMultiLvlLbl val="0"/>
      </c:catAx>
      <c:valAx>
        <c:axId val="35246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dirty="0"/>
                  <a:t>Percent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1496"/>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93796776025814"/>
          <c:y val="0.1106341489973629"/>
          <c:w val="0.86898795886903657"/>
          <c:h val="0.8200560020178606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'CHB results'!$B$4:$B$7</c:f>
              <c:strCache>
                <c:ptCount val="4"/>
                <c:pt idx="0">
                  <c:v>0 servings</c:v>
                </c:pt>
                <c:pt idx="1">
                  <c:v>1-2 servings</c:v>
                </c:pt>
                <c:pt idx="2">
                  <c:v>3-4 servings</c:v>
                </c:pt>
                <c:pt idx="3">
                  <c:v>5 or more servings</c:v>
                </c:pt>
              </c:strCache>
            </c:strRef>
          </c:cat>
          <c:val>
            <c:numRef>
              <c:f>'CHB results'!$E$4:$E$7</c:f>
              <c:numCache>
                <c:formatCode>###0.0</c:formatCode>
                <c:ptCount val="4"/>
                <c:pt idx="0">
                  <c:v>22.353763162673346</c:v>
                </c:pt>
                <c:pt idx="1">
                  <c:v>55.720846100215823</c:v>
                </c:pt>
                <c:pt idx="2">
                  <c:v>19.340132021533066</c:v>
                </c:pt>
                <c:pt idx="3">
                  <c:v>2.5852587155777633</c:v>
                </c:pt>
              </c:numCache>
            </c:numRef>
          </c:val>
        </c:ser>
        <c:dLbls>
          <c:dLblPos val="outEnd"/>
          <c:showLegendKey val="0"/>
          <c:showVal val="1"/>
          <c:showCatName val="0"/>
          <c:showSerName val="0"/>
          <c:showPercent val="0"/>
          <c:showBubbleSize val="0"/>
        </c:dLbls>
        <c:gapWidth val="219"/>
        <c:overlap val="-27"/>
        <c:axId val="352462672"/>
        <c:axId val="352463064"/>
      </c:barChart>
      <c:catAx>
        <c:axId val="3524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3064"/>
        <c:crosses val="autoZero"/>
        <c:auto val="1"/>
        <c:lblAlgn val="ctr"/>
        <c:lblOffset val="100"/>
        <c:noMultiLvlLbl val="0"/>
      </c:catAx>
      <c:valAx>
        <c:axId val="352463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2672"/>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01729559607925"/>
          <c:y val="0.1109046428078701"/>
          <c:w val="0.86437824320351431"/>
          <c:h val="0.8196160498138331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'CHB results'!$B$35:$B$38</c:f>
              <c:strCache>
                <c:ptCount val="4"/>
                <c:pt idx="0">
                  <c:v>0 servings</c:v>
                </c:pt>
                <c:pt idx="1">
                  <c:v>1-2 servings</c:v>
                </c:pt>
                <c:pt idx="2">
                  <c:v>3-4 servings</c:v>
                </c:pt>
                <c:pt idx="3">
                  <c:v>5 or more servings</c:v>
                </c:pt>
              </c:strCache>
            </c:strRef>
          </c:cat>
          <c:val>
            <c:numRef>
              <c:f>'CHB results'!$E$35:$E$38</c:f>
              <c:numCache>
                <c:formatCode>###0.0</c:formatCode>
                <c:ptCount val="4"/>
                <c:pt idx="0">
                  <c:v>10.440911544991046</c:v>
                </c:pt>
                <c:pt idx="1">
                  <c:v>62.069588095486672</c:v>
                </c:pt>
                <c:pt idx="2">
                  <c:v>25.247617711319915</c:v>
                </c:pt>
                <c:pt idx="3">
                  <c:v>2.2418826482023682</c:v>
                </c:pt>
              </c:numCache>
            </c:numRef>
          </c:val>
        </c:ser>
        <c:dLbls>
          <c:dLblPos val="outEnd"/>
          <c:showLegendKey val="0"/>
          <c:showVal val="1"/>
          <c:showCatName val="0"/>
          <c:showSerName val="0"/>
          <c:showPercent val="0"/>
          <c:showBubbleSize val="0"/>
        </c:dLbls>
        <c:gapWidth val="219"/>
        <c:overlap val="-27"/>
        <c:axId val="352463848"/>
        <c:axId val="352464240"/>
      </c:barChart>
      <c:catAx>
        <c:axId val="35246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4240"/>
        <c:crosses val="autoZero"/>
        <c:auto val="1"/>
        <c:lblAlgn val="ctr"/>
        <c:lblOffset val="100"/>
        <c:noMultiLvlLbl val="0"/>
      </c:catAx>
      <c:valAx>
        <c:axId val="35246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dirty="0"/>
                  <a:t>Percent</a:t>
                </a:r>
              </a:p>
            </c:rich>
          </c:tx>
          <c:layout>
            <c:manualLayout>
              <c:xMode val="edge"/>
              <c:yMode val="edge"/>
              <c:x val="6.1175045427014027E-4"/>
              <c:y val="0.460870227186796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463848"/>
        <c:crosses val="autoZero"/>
        <c:crossBetween val="between"/>
      </c:valAx>
      <c:spPr>
        <a:noFill/>
        <a:ln>
          <a:noFill/>
        </a:ln>
        <a:effectLst/>
      </c:spPr>
    </c:plotArea>
    <c:plotVisOnly val="1"/>
    <c:dispBlanksAs val="gap"/>
    <c:showDLblsOverMax val="0"/>
  </c:chart>
  <c:spPr>
    <a:noFill/>
    <a:ln>
      <a:noFill/>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anchor="ctr" anchorCtr="1"/>
              <a:lstStyle/>
              <a:p>
                <a:pPr>
                  <a:defRPr sz="2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Sheet1!$B$494:$B$495</c:f>
              <c:strCache>
                <c:ptCount val="2"/>
                <c:pt idx="0">
                  <c:v>No drinking</c:v>
                </c:pt>
                <c:pt idx="1">
                  <c:v>Any drinking</c:v>
                </c:pt>
              </c:strCache>
            </c:strRef>
          </c:cat>
          <c:val>
            <c:numRef>
              <c:f>Sheet1!$C$494:$C$495</c:f>
              <c:numCache>
                <c:formatCode>###0.0</c:formatCode>
                <c:ptCount val="2"/>
                <c:pt idx="0">
                  <c:v>23.720519813651912</c:v>
                </c:pt>
                <c:pt idx="1">
                  <c:v>76.279480186348096</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sz="1400" b="1"/>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19363498366123"/>
          <c:y val="9.976630145431109E-2"/>
          <c:w val="0.51039145747807169"/>
          <c:h val="0.6375352369210077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anchor="ctr" anchorCtr="1"/>
              <a:lstStyle/>
              <a:p>
                <a:pPr>
                  <a:defRPr sz="2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Sheet1!$B$510:$B$511</c:f>
              <c:strCache>
                <c:ptCount val="2"/>
                <c:pt idx="0">
                  <c:v>No drinking or no binge</c:v>
                </c:pt>
                <c:pt idx="1">
                  <c:v>Any binge drinking</c:v>
                </c:pt>
              </c:strCache>
            </c:strRef>
          </c:cat>
          <c:val>
            <c:numRef>
              <c:f>Sheet1!$C$510:$C$511</c:f>
              <c:numCache>
                <c:formatCode>###0.0</c:formatCode>
                <c:ptCount val="2"/>
                <c:pt idx="0">
                  <c:v>72.073462537144252</c:v>
                </c:pt>
                <c:pt idx="1">
                  <c:v>27.926537462855748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sz="1400" b="1"/>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Sheet1!$B$3:$B$5</c:f>
              <c:strCache>
                <c:ptCount val="3"/>
                <c:pt idx="0">
                  <c:v>Current smoker</c:v>
                </c:pt>
                <c:pt idx="1">
                  <c:v>Former smoker</c:v>
                </c:pt>
                <c:pt idx="2">
                  <c:v>Never smoked</c:v>
                </c:pt>
              </c:strCache>
            </c:strRef>
          </c:cat>
          <c:val>
            <c:numRef>
              <c:f>Sheet1!$C$3:$C$5</c:f>
              <c:numCache>
                <c:formatCode>###0.0</c:formatCode>
                <c:ptCount val="3"/>
                <c:pt idx="0">
                  <c:v>8.7471022533330167</c:v>
                </c:pt>
                <c:pt idx="1">
                  <c:v>23.250208878085882</c:v>
                </c:pt>
                <c:pt idx="2">
                  <c:v>68.002688868581089</c:v>
                </c:pt>
              </c:numCache>
            </c:numRef>
          </c:val>
        </c:ser>
        <c:dLbls>
          <c:dLblPos val="outEnd"/>
          <c:showLegendKey val="0"/>
          <c:showVal val="1"/>
          <c:showCatName val="0"/>
          <c:showSerName val="0"/>
          <c:showPercent val="0"/>
          <c:showBubbleSize val="0"/>
        </c:dLbls>
        <c:gapWidth val="219"/>
        <c:axId val="352344440"/>
        <c:axId val="352344832"/>
      </c:barChart>
      <c:catAx>
        <c:axId val="35234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344832"/>
        <c:crosses val="autoZero"/>
        <c:auto val="1"/>
        <c:lblAlgn val="ctr"/>
        <c:lblOffset val="100"/>
        <c:noMultiLvlLbl val="0"/>
      </c:catAx>
      <c:valAx>
        <c:axId val="352344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52344440"/>
        <c:crosses val="autoZero"/>
        <c:crossBetween val="between"/>
      </c:valAx>
      <c:spPr>
        <a:noFill/>
        <a:ln>
          <a:noFill/>
        </a:ln>
        <a:effectLst/>
      </c:spPr>
    </c:plotArea>
    <c:plotVisOnly val="1"/>
    <c:dispBlanksAs val="gap"/>
    <c:showDLblsOverMax val="0"/>
  </c:chart>
  <c:spPr>
    <a:noFill/>
    <a:ln>
      <a:noFill/>
    </a:ln>
    <a:effectLst/>
  </c:spPr>
  <c:txPr>
    <a:bodyPr/>
    <a:lstStyle/>
    <a:p>
      <a:pPr>
        <a:defRPr sz="1400" b="1"/>
      </a:pPr>
      <a:endParaRPr lang="en-US"/>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Sheet1!$B$2:$B$6</c:f>
              <c:numCache>
                <c:formatCode>General</c:formatCode>
                <c:ptCount val="5"/>
                <c:pt idx="0">
                  <c:v>15</c:v>
                </c:pt>
                <c:pt idx="1">
                  <c:v>0</c:v>
                </c:pt>
                <c:pt idx="2">
                  <c:v>13</c:v>
                </c:pt>
                <c:pt idx="3">
                  <c:v>7</c:v>
                </c:pt>
                <c:pt idx="4">
                  <c:v>0</c:v>
                </c:pt>
              </c:numCache>
            </c:numRef>
          </c:val>
        </c:ser>
        <c:ser>
          <c:idx val="1"/>
          <c:order val="1"/>
          <c:tx>
            <c:strRef>
              <c:f>Sheet1!$C$1</c:f>
              <c:strCache>
                <c:ptCount val="1"/>
                <c:pt idx="0">
                  <c:v>Female</c:v>
                </c:pt>
              </c:strCache>
            </c:strRef>
          </c:tx>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Lst>
            </c:dLbl>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3"/>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Sheet1!$A$2:$A$6</c:f>
              <c:strCache>
                <c:ptCount val="5"/>
                <c:pt idx="0">
                  <c:v>Douglas</c:v>
                </c:pt>
                <c:pt idx="1">
                  <c:v>Grant</c:v>
                </c:pt>
                <c:pt idx="2">
                  <c:v>Pope</c:v>
                </c:pt>
                <c:pt idx="3">
                  <c:v>Stevens</c:v>
                </c:pt>
                <c:pt idx="4">
                  <c:v>Traverse</c:v>
                </c:pt>
              </c:strCache>
            </c:strRef>
          </c:cat>
          <c:val>
            <c:numRef>
              <c:f>Sheet1!$C$2:$C$6</c:f>
              <c:numCache>
                <c:formatCode>General</c:formatCode>
                <c:ptCount val="5"/>
                <c:pt idx="0">
                  <c:v>39</c:v>
                </c:pt>
                <c:pt idx="1">
                  <c:v>0</c:v>
                </c:pt>
                <c:pt idx="2">
                  <c:v>44</c:v>
                </c:pt>
                <c:pt idx="3">
                  <c:v>41</c:v>
                </c:pt>
                <c:pt idx="4">
                  <c:v>0</c:v>
                </c:pt>
              </c:numCache>
            </c:numRef>
          </c:val>
        </c:ser>
        <c:ser>
          <c:idx val="2"/>
          <c:order val="2"/>
          <c:tx>
            <c:strRef>
              <c:f>Sheet1!$D$1</c:f>
              <c:strCache>
                <c:ptCount val="1"/>
                <c:pt idx="0">
                  <c:v>Male or 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Sheet1!$D$2:$D$6</c:f>
              <c:numCache>
                <c:formatCode>General</c:formatCode>
                <c:ptCount val="5"/>
                <c:pt idx="0">
                  <c:v>0</c:v>
                </c:pt>
                <c:pt idx="1">
                  <c:v>22</c:v>
                </c:pt>
                <c:pt idx="2">
                  <c:v>0</c:v>
                </c:pt>
                <c:pt idx="3">
                  <c:v>0</c:v>
                </c:pt>
                <c:pt idx="4">
                  <c:v>26</c:v>
                </c:pt>
              </c:numCache>
            </c:numRef>
          </c:val>
        </c:ser>
        <c:dLbls>
          <c:showLegendKey val="0"/>
          <c:showVal val="0"/>
          <c:showCatName val="0"/>
          <c:showSerName val="0"/>
          <c:showPercent val="0"/>
          <c:showBubbleSize val="0"/>
        </c:dLbls>
        <c:gapWidth val="150"/>
        <c:axId val="352345616"/>
        <c:axId val="352346008"/>
      </c:barChart>
      <c:catAx>
        <c:axId val="352345616"/>
        <c:scaling>
          <c:orientation val="minMax"/>
        </c:scaling>
        <c:delete val="0"/>
        <c:axPos val="b"/>
        <c:numFmt formatCode="General" sourceLinked="0"/>
        <c:majorTickMark val="out"/>
        <c:minorTickMark val="none"/>
        <c:tickLblPos val="nextTo"/>
        <c:crossAx val="352346008"/>
        <c:crosses val="autoZero"/>
        <c:auto val="1"/>
        <c:lblAlgn val="ctr"/>
        <c:lblOffset val="100"/>
        <c:noMultiLvlLbl val="0"/>
      </c:catAx>
      <c:valAx>
        <c:axId val="352346008"/>
        <c:scaling>
          <c:orientation val="minMax"/>
        </c:scaling>
        <c:delete val="0"/>
        <c:axPos val="l"/>
        <c:majorGridlines/>
        <c:numFmt formatCode="General" sourceLinked="1"/>
        <c:majorTickMark val="out"/>
        <c:minorTickMark val="none"/>
        <c:tickLblPos val="nextTo"/>
        <c:crossAx val="352345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Sheet1!$B$2:$B$6</c:f>
              <c:numCache>
                <c:formatCode>General</c:formatCode>
                <c:ptCount val="5"/>
                <c:pt idx="0">
                  <c:v>24</c:v>
                </c:pt>
                <c:pt idx="1">
                  <c:v>0</c:v>
                </c:pt>
                <c:pt idx="2">
                  <c:v>35</c:v>
                </c:pt>
                <c:pt idx="3">
                  <c:v>20</c:v>
                </c:pt>
                <c:pt idx="4">
                  <c:v>0</c:v>
                </c:pt>
              </c:numCache>
            </c:numRef>
          </c:val>
        </c:ser>
        <c:ser>
          <c:idx val="1"/>
          <c:order val="1"/>
          <c:tx>
            <c:strRef>
              <c:f>Sheet1!$C$1</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Sheet1!$C$2:$C$6</c:f>
              <c:numCache>
                <c:formatCode>General</c:formatCode>
                <c:ptCount val="5"/>
                <c:pt idx="0">
                  <c:v>34</c:v>
                </c:pt>
                <c:pt idx="1">
                  <c:v>0</c:v>
                </c:pt>
                <c:pt idx="2">
                  <c:v>54</c:v>
                </c:pt>
                <c:pt idx="3">
                  <c:v>38</c:v>
                </c:pt>
                <c:pt idx="4">
                  <c:v>0</c:v>
                </c:pt>
              </c:numCache>
            </c:numRef>
          </c:val>
        </c:ser>
        <c:ser>
          <c:idx val="2"/>
          <c:order val="2"/>
          <c:tx>
            <c:strRef>
              <c:f>Sheet1!$D$1</c:f>
              <c:strCache>
                <c:ptCount val="1"/>
                <c:pt idx="0">
                  <c:v>Male or 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Sheet1!$D$2:$D$6</c:f>
              <c:numCache>
                <c:formatCode>General</c:formatCode>
                <c:ptCount val="5"/>
                <c:pt idx="0">
                  <c:v>0</c:v>
                </c:pt>
                <c:pt idx="1">
                  <c:v>44</c:v>
                </c:pt>
                <c:pt idx="2">
                  <c:v>0</c:v>
                </c:pt>
                <c:pt idx="3">
                  <c:v>0</c:v>
                </c:pt>
                <c:pt idx="4">
                  <c:v>31</c:v>
                </c:pt>
              </c:numCache>
            </c:numRef>
          </c:val>
        </c:ser>
        <c:dLbls>
          <c:showLegendKey val="0"/>
          <c:showVal val="0"/>
          <c:showCatName val="0"/>
          <c:showSerName val="0"/>
          <c:showPercent val="0"/>
          <c:showBubbleSize val="0"/>
        </c:dLbls>
        <c:gapWidth val="150"/>
        <c:axId val="352346792"/>
        <c:axId val="352347184"/>
      </c:barChart>
      <c:catAx>
        <c:axId val="352346792"/>
        <c:scaling>
          <c:orientation val="minMax"/>
        </c:scaling>
        <c:delete val="0"/>
        <c:axPos val="b"/>
        <c:numFmt formatCode="General" sourceLinked="0"/>
        <c:majorTickMark val="out"/>
        <c:minorTickMark val="none"/>
        <c:tickLblPos val="nextTo"/>
        <c:crossAx val="352347184"/>
        <c:crosses val="autoZero"/>
        <c:auto val="1"/>
        <c:lblAlgn val="ctr"/>
        <c:lblOffset val="100"/>
        <c:noMultiLvlLbl val="0"/>
      </c:catAx>
      <c:valAx>
        <c:axId val="352347184"/>
        <c:scaling>
          <c:orientation val="minMax"/>
        </c:scaling>
        <c:delete val="0"/>
        <c:axPos val="l"/>
        <c:majorGridlines/>
        <c:numFmt formatCode="General" sourceLinked="1"/>
        <c:majorTickMark val="out"/>
        <c:minorTickMark val="none"/>
        <c:tickLblPos val="nextTo"/>
        <c:crossAx val="352346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868957407666695E-2"/>
          <c:y val="4.5412135045400218E-2"/>
          <c:w val="0.64524934383202104"/>
          <c:h val="0.79931284509168798"/>
        </c:manualLayout>
      </c:layout>
      <c:barChart>
        <c:barDir val="col"/>
        <c:grouping val="clustered"/>
        <c:varyColors val="0"/>
        <c:ser>
          <c:idx val="0"/>
          <c:order val="0"/>
          <c:tx>
            <c:strRef>
              <c:f>Sheet1!$B$1</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Sheet1!$B$2:$B$6</c:f>
              <c:numCache>
                <c:formatCode>General</c:formatCode>
                <c:ptCount val="5"/>
                <c:pt idx="0">
                  <c:v>39</c:v>
                </c:pt>
                <c:pt idx="1">
                  <c:v>0</c:v>
                </c:pt>
                <c:pt idx="2">
                  <c:v>43</c:v>
                </c:pt>
                <c:pt idx="3">
                  <c:v>30</c:v>
                </c:pt>
                <c:pt idx="4">
                  <c:v>0</c:v>
                </c:pt>
              </c:numCache>
            </c:numRef>
          </c:val>
        </c:ser>
        <c:ser>
          <c:idx val="1"/>
          <c:order val="1"/>
          <c:tx>
            <c:strRef>
              <c:f>Sheet1!$C$1</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Sheet1!$C$2:$C$6</c:f>
              <c:numCache>
                <c:formatCode>General</c:formatCode>
                <c:ptCount val="5"/>
                <c:pt idx="0">
                  <c:v>36</c:v>
                </c:pt>
                <c:pt idx="1">
                  <c:v>0</c:v>
                </c:pt>
                <c:pt idx="2">
                  <c:v>26</c:v>
                </c:pt>
                <c:pt idx="3">
                  <c:v>43</c:v>
                </c:pt>
                <c:pt idx="4">
                  <c:v>0</c:v>
                </c:pt>
              </c:numCache>
            </c:numRef>
          </c:val>
        </c:ser>
        <c:ser>
          <c:idx val="2"/>
          <c:order val="2"/>
          <c:tx>
            <c:strRef>
              <c:f>Sheet1!$D$1</c:f>
              <c:strCache>
                <c:ptCount val="1"/>
                <c:pt idx="0">
                  <c:v>Male or 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Douglas</c:v>
                </c:pt>
                <c:pt idx="1">
                  <c:v>Grant</c:v>
                </c:pt>
                <c:pt idx="2">
                  <c:v>Pope</c:v>
                </c:pt>
                <c:pt idx="3">
                  <c:v>Stevens</c:v>
                </c:pt>
                <c:pt idx="4">
                  <c:v>Traverse</c:v>
                </c:pt>
              </c:strCache>
            </c:strRef>
          </c:cat>
          <c:val>
            <c:numRef>
              <c:f>Sheet1!$D$2:$D$6</c:f>
              <c:numCache>
                <c:formatCode>General</c:formatCode>
                <c:ptCount val="5"/>
                <c:pt idx="0">
                  <c:v>0</c:v>
                </c:pt>
                <c:pt idx="1">
                  <c:v>47</c:v>
                </c:pt>
                <c:pt idx="2">
                  <c:v>0</c:v>
                </c:pt>
                <c:pt idx="3">
                  <c:v>0</c:v>
                </c:pt>
                <c:pt idx="4">
                  <c:v>54</c:v>
                </c:pt>
              </c:numCache>
            </c:numRef>
          </c:val>
        </c:ser>
        <c:dLbls>
          <c:showLegendKey val="0"/>
          <c:showVal val="0"/>
          <c:showCatName val="0"/>
          <c:showSerName val="0"/>
          <c:showPercent val="0"/>
          <c:showBubbleSize val="0"/>
        </c:dLbls>
        <c:gapWidth val="150"/>
        <c:axId val="353890848"/>
        <c:axId val="353891240"/>
      </c:barChart>
      <c:catAx>
        <c:axId val="353890848"/>
        <c:scaling>
          <c:orientation val="minMax"/>
        </c:scaling>
        <c:delete val="0"/>
        <c:axPos val="b"/>
        <c:numFmt formatCode="General" sourceLinked="0"/>
        <c:majorTickMark val="out"/>
        <c:minorTickMark val="none"/>
        <c:tickLblPos val="nextTo"/>
        <c:crossAx val="353891240"/>
        <c:crosses val="autoZero"/>
        <c:auto val="1"/>
        <c:lblAlgn val="ctr"/>
        <c:lblOffset val="100"/>
        <c:noMultiLvlLbl val="0"/>
      </c:catAx>
      <c:valAx>
        <c:axId val="353891240"/>
        <c:scaling>
          <c:orientation val="minMax"/>
        </c:scaling>
        <c:delete val="0"/>
        <c:axPos val="l"/>
        <c:majorGridlines/>
        <c:numFmt formatCode="General" sourceLinked="1"/>
        <c:majorTickMark val="out"/>
        <c:minorTickMark val="none"/>
        <c:tickLblPos val="nextTo"/>
        <c:crossAx val="3538908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Douglas</c:v>
                </c:pt>
                <c:pt idx="1">
                  <c:v>Grant</c:v>
                </c:pt>
                <c:pt idx="2">
                  <c:v>Pope</c:v>
                </c:pt>
                <c:pt idx="3">
                  <c:v>Stevens</c:v>
                </c:pt>
                <c:pt idx="4">
                  <c:v>Traverse</c:v>
                </c:pt>
              </c:strCache>
            </c:strRef>
          </c:cat>
          <c:val>
            <c:numRef>
              <c:f>Sheet1!$B$2:$B$6</c:f>
              <c:numCache>
                <c:formatCode>General</c:formatCode>
                <c:ptCount val="5"/>
                <c:pt idx="0">
                  <c:v>65</c:v>
                </c:pt>
                <c:pt idx="2">
                  <c:v>94</c:v>
                </c:pt>
                <c:pt idx="3">
                  <c:v>60</c:v>
                </c:pt>
                <c:pt idx="4">
                  <c:v>0</c:v>
                </c:pt>
              </c:numCache>
            </c:numRef>
          </c:val>
        </c:ser>
        <c:ser>
          <c:idx val="1"/>
          <c:order val="1"/>
          <c:tx>
            <c:strRef>
              <c:f>Sheet1!$C$1</c:f>
              <c:strCache>
                <c:ptCount val="1"/>
                <c:pt idx="0">
                  <c:v>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Douglas</c:v>
                </c:pt>
                <c:pt idx="1">
                  <c:v>Grant</c:v>
                </c:pt>
                <c:pt idx="2">
                  <c:v>Pope</c:v>
                </c:pt>
                <c:pt idx="3">
                  <c:v>Stevens</c:v>
                </c:pt>
                <c:pt idx="4">
                  <c:v>Traverse</c:v>
                </c:pt>
              </c:strCache>
            </c:strRef>
          </c:cat>
          <c:val>
            <c:numRef>
              <c:f>Sheet1!$C$2:$C$6</c:f>
              <c:numCache>
                <c:formatCode>General</c:formatCode>
                <c:ptCount val="5"/>
                <c:pt idx="0">
                  <c:v>35</c:v>
                </c:pt>
                <c:pt idx="1">
                  <c:v>4.4000000000000004</c:v>
                </c:pt>
                <c:pt idx="2">
                  <c:v>83</c:v>
                </c:pt>
                <c:pt idx="3">
                  <c:v>83</c:v>
                </c:pt>
                <c:pt idx="4">
                  <c:v>0</c:v>
                </c:pt>
              </c:numCache>
            </c:numRef>
          </c:val>
        </c:ser>
        <c:ser>
          <c:idx val="2"/>
          <c:order val="2"/>
          <c:tx>
            <c:strRef>
              <c:f>Sheet1!$D$1</c:f>
              <c:strCache>
                <c:ptCount val="1"/>
                <c:pt idx="0">
                  <c:v>Both Male and Female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Sheet1!$A$2:$A$6</c:f>
              <c:strCache>
                <c:ptCount val="5"/>
                <c:pt idx="0">
                  <c:v>Douglas</c:v>
                </c:pt>
                <c:pt idx="1">
                  <c:v>Grant</c:v>
                </c:pt>
                <c:pt idx="2">
                  <c:v>Pope</c:v>
                </c:pt>
                <c:pt idx="3">
                  <c:v>Stevens</c:v>
                </c:pt>
                <c:pt idx="4">
                  <c:v>Traverse</c:v>
                </c:pt>
              </c:strCache>
            </c:strRef>
          </c:cat>
          <c:val>
            <c:numRef>
              <c:f>Sheet1!$D$2:$D$6</c:f>
              <c:numCache>
                <c:formatCode>General</c:formatCode>
                <c:ptCount val="5"/>
                <c:pt idx="0">
                  <c:v>0</c:v>
                </c:pt>
                <c:pt idx="1">
                  <c:v>63</c:v>
                </c:pt>
                <c:pt idx="2">
                  <c:v>0</c:v>
                </c:pt>
                <c:pt idx="3">
                  <c:v>0</c:v>
                </c:pt>
                <c:pt idx="4">
                  <c:v>64</c:v>
                </c:pt>
              </c:numCache>
            </c:numRef>
          </c:val>
        </c:ser>
        <c:dLbls>
          <c:showLegendKey val="0"/>
          <c:showVal val="0"/>
          <c:showCatName val="0"/>
          <c:showSerName val="0"/>
          <c:showPercent val="0"/>
          <c:showBubbleSize val="0"/>
        </c:dLbls>
        <c:gapWidth val="150"/>
        <c:axId val="353892024"/>
        <c:axId val="353892416"/>
      </c:barChart>
      <c:catAx>
        <c:axId val="353892024"/>
        <c:scaling>
          <c:orientation val="minMax"/>
        </c:scaling>
        <c:delete val="0"/>
        <c:axPos val="b"/>
        <c:numFmt formatCode="General" sourceLinked="0"/>
        <c:majorTickMark val="out"/>
        <c:minorTickMark val="none"/>
        <c:tickLblPos val="nextTo"/>
        <c:crossAx val="353892416"/>
        <c:crosses val="autoZero"/>
        <c:auto val="1"/>
        <c:lblAlgn val="ctr"/>
        <c:lblOffset val="100"/>
        <c:noMultiLvlLbl val="0"/>
      </c:catAx>
      <c:valAx>
        <c:axId val="353892416"/>
        <c:scaling>
          <c:orientation val="minMax"/>
        </c:scaling>
        <c:delete val="0"/>
        <c:axPos val="l"/>
        <c:majorGridlines/>
        <c:numFmt formatCode="General" sourceLinked="1"/>
        <c:majorTickMark val="out"/>
        <c:minorTickMark val="none"/>
        <c:tickLblPos val="nextTo"/>
        <c:crossAx val="353892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tbl_1_pop_pyr!$C$4</c:f>
              <c:strCache>
                <c:ptCount val="1"/>
                <c:pt idx="0">
                  <c:v>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data'!$B$3:$B$20</c:f>
              <c:numCache>
                <c:formatCode>0.0</c:formatCode>
                <c:ptCount val="18"/>
                <c:pt idx="0">
                  <c:v>-2.8521023228462217</c:v>
                </c:pt>
                <c:pt idx="1">
                  <c:v>-2.7344898559247279</c:v>
                </c:pt>
                <c:pt idx="2">
                  <c:v>-3.1755366068803292</c:v>
                </c:pt>
                <c:pt idx="3">
                  <c:v>-3.3225521905321962</c:v>
                </c:pt>
                <c:pt idx="4">
                  <c:v>-2.3816524551602472</c:v>
                </c:pt>
                <c:pt idx="5">
                  <c:v>-2.3522493384298735</c:v>
                </c:pt>
                <c:pt idx="6">
                  <c:v>-2.5580711555424873</c:v>
                </c:pt>
                <c:pt idx="7">
                  <c:v>-2.6462805057336078</c:v>
                </c:pt>
                <c:pt idx="8">
                  <c:v>-2.3228462216995003</c:v>
                </c:pt>
                <c:pt idx="9">
                  <c:v>-2.7344898559247279</c:v>
                </c:pt>
                <c:pt idx="10">
                  <c:v>-3.5871802411055573</c:v>
                </c:pt>
                <c:pt idx="11">
                  <c:v>-3.7930020582181712</c:v>
                </c:pt>
                <c:pt idx="12">
                  <c:v>-4.3516612760952658</c:v>
                </c:pt>
                <c:pt idx="13">
                  <c:v>-2.5580711555424873</c:v>
                </c:pt>
                <c:pt idx="14">
                  <c:v>-2.4698618053513672</c:v>
                </c:pt>
                <c:pt idx="15">
                  <c:v>-2.1464275213172597</c:v>
                </c:pt>
                <c:pt idx="16">
                  <c:v>-2.1464275213172597</c:v>
                </c:pt>
                <c:pt idx="17">
                  <c:v>-1.6465745369009115</c:v>
                </c:pt>
              </c:numCache>
            </c:numRef>
          </c:val>
        </c:ser>
        <c:ser>
          <c:idx val="0"/>
          <c:order val="1"/>
          <c:tx>
            <c:strRef>
              <c:f>tbl_1_pop_pyr!$D$4</c:f>
              <c:strCache>
                <c:ptCount val="1"/>
                <c:pt idx="0">
                  <c:v>Female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data'!$C$3:$C$20</c:f>
              <c:numCache>
                <c:formatCode>0.0</c:formatCode>
                <c:ptCount val="18"/>
                <c:pt idx="0">
                  <c:v>2.2052337547780065</c:v>
                </c:pt>
                <c:pt idx="1">
                  <c:v>2.9697147897677154</c:v>
                </c:pt>
                <c:pt idx="2">
                  <c:v>2.7932960893854748</c:v>
                </c:pt>
                <c:pt idx="3">
                  <c:v>2.8815054395765953</c:v>
                </c:pt>
                <c:pt idx="4">
                  <c:v>2.440458688620994</c:v>
                </c:pt>
                <c:pt idx="5">
                  <c:v>1.8817994707438988</c:v>
                </c:pt>
                <c:pt idx="6">
                  <c:v>2.2934431049691266</c:v>
                </c:pt>
                <c:pt idx="7">
                  <c:v>2.3816524551602472</c:v>
                </c:pt>
                <c:pt idx="8">
                  <c:v>2.4110555718906204</c:v>
                </c:pt>
                <c:pt idx="9">
                  <c:v>2.4992649220817404</c:v>
                </c:pt>
                <c:pt idx="10">
                  <c:v>3.6165833578359305</c:v>
                </c:pt>
                <c:pt idx="11">
                  <c:v>3.7930020582181712</c:v>
                </c:pt>
                <c:pt idx="12">
                  <c:v>3.6165833578359305</c:v>
                </c:pt>
                <c:pt idx="13">
                  <c:v>2.4992649220817404</c:v>
                </c:pt>
                <c:pt idx="14">
                  <c:v>3.0285210232284623</c:v>
                </c:pt>
                <c:pt idx="15">
                  <c:v>2.4698618053513672</c:v>
                </c:pt>
                <c:pt idx="16">
                  <c:v>2.8815054395765953</c:v>
                </c:pt>
                <c:pt idx="17">
                  <c:v>3.5577771243751837</c:v>
                </c:pt>
              </c:numCache>
            </c:numRef>
          </c:val>
        </c:ser>
        <c:dLbls>
          <c:showLegendKey val="0"/>
          <c:showVal val="0"/>
          <c:showCatName val="0"/>
          <c:showSerName val="0"/>
          <c:showPercent val="0"/>
          <c:showBubbleSize val="0"/>
        </c:dLbls>
        <c:gapWidth val="0"/>
        <c:overlap val="100"/>
        <c:axId val="317645456"/>
        <c:axId val="319435328"/>
      </c:barChart>
      <c:catAx>
        <c:axId val="317645456"/>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5328"/>
        <c:crosses val="autoZero"/>
        <c:auto val="1"/>
        <c:lblAlgn val="ctr"/>
        <c:lblOffset val="100"/>
        <c:tickLblSkip val="1"/>
        <c:tickMarkSkip val="1"/>
        <c:noMultiLvlLbl val="0"/>
      </c:catAx>
      <c:valAx>
        <c:axId val="319435328"/>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7645456"/>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8029463299292"/>
          <c:y val="3.8988321915499648E-2"/>
          <c:w val="0.66005312783579917"/>
          <c:h val="0.7562784670288043"/>
        </c:manualLayout>
      </c:layout>
      <c:lineChart>
        <c:grouping val="standard"/>
        <c:varyColors val="0"/>
        <c:ser>
          <c:idx val="0"/>
          <c:order val="0"/>
          <c:tx>
            <c:v>MN - Cancer</c:v>
          </c:tx>
          <c:marker>
            <c:symbol val="none"/>
          </c:marker>
          <c:cat>
            <c:strRef>
              <c:f>Trends!$H$240:$K$240</c:f>
              <c:strCache>
                <c:ptCount val="4"/>
                <c:pt idx="0">
                  <c:v>1991-1995</c:v>
                </c:pt>
                <c:pt idx="1">
                  <c:v>1996-2000</c:v>
                </c:pt>
                <c:pt idx="2">
                  <c:v>2001-2005</c:v>
                </c:pt>
                <c:pt idx="3">
                  <c:v>2006-2010</c:v>
                </c:pt>
              </c:strCache>
            </c:strRef>
          </c:cat>
          <c:val>
            <c:numRef>
              <c:f>Trends!$H$251:$K$251</c:f>
              <c:numCache>
                <c:formatCode>#,##0.0</c:formatCode>
                <c:ptCount val="4"/>
                <c:pt idx="0">
                  <c:v>196.33153300000001</c:v>
                </c:pt>
                <c:pt idx="1">
                  <c:v>191.55026145000002</c:v>
                </c:pt>
                <c:pt idx="2">
                  <c:v>178.2303685</c:v>
                </c:pt>
                <c:pt idx="3">
                  <c:v>169.60137904000001</c:v>
                </c:pt>
              </c:numCache>
            </c:numRef>
          </c:val>
          <c:smooth val="0"/>
        </c:ser>
        <c:ser>
          <c:idx val="1"/>
          <c:order val="1"/>
          <c:tx>
            <c:v>Horizon - Cancer</c:v>
          </c:tx>
          <c:marker>
            <c:symbol val="none"/>
          </c:marker>
          <c:cat>
            <c:strRef>
              <c:f>Trends!$H$240:$K$240</c:f>
              <c:strCache>
                <c:ptCount val="4"/>
                <c:pt idx="0">
                  <c:v>1991-1995</c:v>
                </c:pt>
                <c:pt idx="1">
                  <c:v>1996-2000</c:v>
                </c:pt>
                <c:pt idx="2">
                  <c:v>2001-2005</c:v>
                </c:pt>
                <c:pt idx="3">
                  <c:v>2006-2010</c:v>
                </c:pt>
              </c:strCache>
            </c:strRef>
          </c:cat>
          <c:val>
            <c:numRef>
              <c:f>Trends!$H$252:$K$252</c:f>
              <c:numCache>
                <c:formatCode>0.0</c:formatCode>
                <c:ptCount val="4"/>
                <c:pt idx="0">
                  <c:v>189.68700000000001</c:v>
                </c:pt>
                <c:pt idx="1">
                  <c:v>176.02800000000005</c:v>
                </c:pt>
                <c:pt idx="2">
                  <c:v>164.76199999999997</c:v>
                </c:pt>
                <c:pt idx="3">
                  <c:v>164.74399999999997</c:v>
                </c:pt>
              </c:numCache>
            </c:numRef>
          </c:val>
          <c:smooth val="0"/>
        </c:ser>
        <c:ser>
          <c:idx val="2"/>
          <c:order val="2"/>
          <c:tx>
            <c:v>MN - Heart Disease</c:v>
          </c:tx>
          <c:spPr>
            <a:ln>
              <a:solidFill>
                <a:schemeClr val="accent1"/>
              </a:solidFill>
              <a:prstDash val="sysDash"/>
            </a:ln>
          </c:spPr>
          <c:marker>
            <c:symbol val="none"/>
          </c:marker>
          <c:cat>
            <c:strRef>
              <c:f>Trends!$H$240:$K$240</c:f>
              <c:strCache>
                <c:ptCount val="4"/>
                <c:pt idx="0">
                  <c:v>1991-1995</c:v>
                </c:pt>
                <c:pt idx="1">
                  <c:v>1996-2000</c:v>
                </c:pt>
                <c:pt idx="2">
                  <c:v>2001-2005</c:v>
                </c:pt>
                <c:pt idx="3">
                  <c:v>2006-2010</c:v>
                </c:pt>
              </c:strCache>
            </c:strRef>
          </c:cat>
          <c:val>
            <c:numRef>
              <c:f>Trends!$H$241:$K$241</c:f>
              <c:numCache>
                <c:formatCode>#,##0.0</c:formatCode>
                <c:ptCount val="4"/>
                <c:pt idx="0">
                  <c:v>234.16935484999999</c:v>
                </c:pt>
                <c:pt idx="1">
                  <c:v>196.37519061</c:v>
                </c:pt>
                <c:pt idx="2">
                  <c:v>154.11566667999998</c:v>
                </c:pt>
                <c:pt idx="3">
                  <c:v>126.55212321</c:v>
                </c:pt>
              </c:numCache>
            </c:numRef>
          </c:val>
          <c:smooth val="0"/>
        </c:ser>
        <c:ser>
          <c:idx val="3"/>
          <c:order val="3"/>
          <c:tx>
            <c:v>Horizon - Hearth Disease</c:v>
          </c:tx>
          <c:spPr>
            <a:ln>
              <a:solidFill>
                <a:schemeClr val="accent2"/>
              </a:solidFill>
              <a:prstDash val="sysDash"/>
            </a:ln>
          </c:spPr>
          <c:marker>
            <c:symbol val="none"/>
          </c:marker>
          <c:cat>
            <c:strRef>
              <c:f>Trends!$H$240:$K$240</c:f>
              <c:strCache>
                <c:ptCount val="4"/>
                <c:pt idx="0">
                  <c:v>1991-1995</c:v>
                </c:pt>
                <c:pt idx="1">
                  <c:v>1996-2000</c:v>
                </c:pt>
                <c:pt idx="2">
                  <c:v>2001-2005</c:v>
                </c:pt>
                <c:pt idx="3">
                  <c:v>2006-2010</c:v>
                </c:pt>
              </c:strCache>
            </c:strRef>
          </c:cat>
          <c:val>
            <c:numRef>
              <c:f>Trends!$H$242:$K$242</c:f>
              <c:numCache>
                <c:formatCode>0.0</c:formatCode>
                <c:ptCount val="4"/>
                <c:pt idx="0">
                  <c:v>256.13599999999997</c:v>
                </c:pt>
                <c:pt idx="1">
                  <c:v>217.60999999999999</c:v>
                </c:pt>
                <c:pt idx="2">
                  <c:v>174.035</c:v>
                </c:pt>
                <c:pt idx="3">
                  <c:v>135.72</c:v>
                </c:pt>
              </c:numCache>
            </c:numRef>
          </c:val>
          <c:smooth val="0"/>
        </c:ser>
        <c:ser>
          <c:idx val="4"/>
          <c:order val="4"/>
          <c:tx>
            <c:v>MN - Stroke</c:v>
          </c:tx>
          <c:spPr>
            <a:ln>
              <a:solidFill>
                <a:schemeClr val="accent1"/>
              </a:solidFill>
              <a:prstDash val="sysDot"/>
            </a:ln>
          </c:spPr>
          <c:marker>
            <c:symbol val="none"/>
          </c:marker>
          <c:cat>
            <c:strRef>
              <c:f>Trends!$H$240:$K$240</c:f>
              <c:strCache>
                <c:ptCount val="4"/>
                <c:pt idx="0">
                  <c:v>1991-1995</c:v>
                </c:pt>
                <c:pt idx="1">
                  <c:v>1996-2000</c:v>
                </c:pt>
                <c:pt idx="2">
                  <c:v>2001-2005</c:v>
                </c:pt>
                <c:pt idx="3">
                  <c:v>2006-2010</c:v>
                </c:pt>
              </c:strCache>
            </c:strRef>
          </c:cat>
          <c:val>
            <c:numRef>
              <c:f>Trends!$H$261:$K$261</c:f>
              <c:numCache>
                <c:formatCode>#,##0.0</c:formatCode>
                <c:ptCount val="4"/>
                <c:pt idx="0">
                  <c:v>65.333105279999998</c:v>
                </c:pt>
                <c:pt idx="1">
                  <c:v>59.836208759999998</c:v>
                </c:pt>
                <c:pt idx="2">
                  <c:v>47.613712330000013</c:v>
                </c:pt>
                <c:pt idx="3">
                  <c:v>36.207636350000001</c:v>
                </c:pt>
              </c:numCache>
            </c:numRef>
          </c:val>
          <c:smooth val="0"/>
        </c:ser>
        <c:ser>
          <c:idx val="5"/>
          <c:order val="5"/>
          <c:tx>
            <c:v>Horizon - Stroke</c:v>
          </c:tx>
          <c:spPr>
            <a:ln>
              <a:solidFill>
                <a:schemeClr val="accent2"/>
              </a:solidFill>
              <a:prstDash val="sysDot"/>
            </a:ln>
          </c:spPr>
          <c:marker>
            <c:symbol val="none"/>
          </c:marker>
          <c:cat>
            <c:strRef>
              <c:f>Trends!$H$240:$K$240</c:f>
              <c:strCache>
                <c:ptCount val="4"/>
                <c:pt idx="0">
                  <c:v>1991-1995</c:v>
                </c:pt>
                <c:pt idx="1">
                  <c:v>1996-2000</c:v>
                </c:pt>
                <c:pt idx="2">
                  <c:v>2001-2005</c:v>
                </c:pt>
                <c:pt idx="3">
                  <c:v>2006-2010</c:v>
                </c:pt>
              </c:strCache>
            </c:strRef>
          </c:cat>
          <c:val>
            <c:numRef>
              <c:f>Trends!$H$262:$K$262</c:f>
              <c:numCache>
                <c:formatCode>0.0</c:formatCode>
                <c:ptCount val="4"/>
                <c:pt idx="0">
                  <c:v>54.748000000000012</c:v>
                </c:pt>
                <c:pt idx="1">
                  <c:v>56.11</c:v>
                </c:pt>
                <c:pt idx="2">
                  <c:v>43.776000000000003</c:v>
                </c:pt>
                <c:pt idx="3">
                  <c:v>34.361000000000004</c:v>
                </c:pt>
              </c:numCache>
            </c:numRef>
          </c:val>
          <c:smooth val="0"/>
        </c:ser>
        <c:dLbls>
          <c:showLegendKey val="0"/>
          <c:showVal val="0"/>
          <c:showCatName val="0"/>
          <c:showSerName val="0"/>
          <c:showPercent val="0"/>
          <c:showBubbleSize val="0"/>
        </c:dLbls>
        <c:smooth val="0"/>
        <c:axId val="353893200"/>
        <c:axId val="353893592"/>
      </c:lineChart>
      <c:catAx>
        <c:axId val="353893200"/>
        <c:scaling>
          <c:orientation val="minMax"/>
        </c:scaling>
        <c:delete val="0"/>
        <c:axPos val="b"/>
        <c:title>
          <c:tx>
            <c:rich>
              <a:bodyPr/>
              <a:lstStyle/>
              <a:p>
                <a:pPr>
                  <a:defRPr/>
                </a:pPr>
                <a:r>
                  <a:rPr lang="en-US" sz="800" b="0" i="1">
                    <a:solidFill>
                      <a:schemeClr val="bg1">
                        <a:lumMod val="50000"/>
                      </a:schemeClr>
                    </a:solidFill>
                  </a:rPr>
                  <a:t>Source: Minnesota Department of Heath, Center for Heath Statistics</a:t>
                </a:r>
              </a:p>
            </c:rich>
          </c:tx>
          <c:layout>
            <c:manualLayout>
              <c:xMode val="edge"/>
              <c:yMode val="edge"/>
              <c:x val="2.7023810641494533E-4"/>
              <c:y val="0.93886555847185771"/>
            </c:manualLayout>
          </c:layout>
          <c:overlay val="0"/>
        </c:title>
        <c:numFmt formatCode="General" sourceLinked="0"/>
        <c:majorTickMark val="out"/>
        <c:minorTickMark val="none"/>
        <c:tickLblPos val="nextTo"/>
        <c:crossAx val="353893592"/>
        <c:crosses val="autoZero"/>
        <c:auto val="1"/>
        <c:lblAlgn val="ctr"/>
        <c:lblOffset val="100"/>
        <c:noMultiLvlLbl val="0"/>
      </c:catAx>
      <c:valAx>
        <c:axId val="353893592"/>
        <c:scaling>
          <c:orientation val="minMax"/>
        </c:scaling>
        <c:delete val="0"/>
        <c:axPos val="l"/>
        <c:majorGridlines/>
        <c:title>
          <c:tx>
            <c:rich>
              <a:bodyPr rot="-5400000" vert="horz"/>
              <a:lstStyle/>
              <a:p>
                <a:pPr>
                  <a:defRPr sz="1100"/>
                </a:pPr>
                <a:r>
                  <a:rPr lang="en-US" sz="1100"/>
                  <a:t>Age Adjusted Death Rate</a:t>
                </a:r>
              </a:p>
            </c:rich>
          </c:tx>
          <c:layout/>
          <c:overlay val="0"/>
        </c:title>
        <c:numFmt formatCode="#,##0.0" sourceLinked="1"/>
        <c:majorTickMark val="out"/>
        <c:minorTickMark val="none"/>
        <c:tickLblPos val="nextTo"/>
        <c:crossAx val="353893200"/>
        <c:crosses val="autoZero"/>
        <c:crossBetween val="between"/>
      </c:valAx>
    </c:plotArea>
    <c:legend>
      <c:legendPos val="r"/>
      <c:layout>
        <c:manualLayout>
          <c:xMode val="edge"/>
          <c:yMode val="edge"/>
          <c:x val="0.77258313813363799"/>
          <c:y val="8.6811388159813402E-2"/>
          <c:w val="0.21774975723129697"/>
          <c:h val="0.77082166812481789"/>
        </c:manualLayout>
      </c:layout>
      <c:overlay val="0"/>
    </c:legend>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36056768850462"/>
          <c:y val="9.3138237399469567E-2"/>
          <c:w val="0.76545730084441332"/>
          <c:h val="0.67586974363753161"/>
        </c:manualLayout>
      </c:layout>
      <c:lineChart>
        <c:grouping val="standard"/>
        <c:varyColors val="0"/>
        <c:ser>
          <c:idx val="0"/>
          <c:order val="0"/>
          <c:tx>
            <c:strRef>
              <c:f>'Leading Causes of Death'!$B$2:$B$3</c:f>
              <c:strCache>
                <c:ptCount val="1"/>
                <c:pt idx="0">
                  <c:v>Douglas</c:v>
                </c:pt>
              </c:strCache>
            </c:strRef>
          </c:tx>
          <c:marker>
            <c:symbol val="none"/>
          </c:marker>
          <c:cat>
            <c:numRef>
              <c:f>'Leading Causes of Death'!$A$4:$A$24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Death'!$B$4:$B$24</c:f>
              <c:numCache>
                <c:formatCode>0.0</c:formatCode>
                <c:ptCount val="21"/>
                <c:pt idx="0">
                  <c:v>247.54194009</c:v>
                </c:pt>
                <c:pt idx="1">
                  <c:v>271.31586668000057</c:v>
                </c:pt>
                <c:pt idx="2">
                  <c:v>299.64356823999998</c:v>
                </c:pt>
                <c:pt idx="3">
                  <c:v>227.58783879000001</c:v>
                </c:pt>
                <c:pt idx="4">
                  <c:v>260.98799837999951</c:v>
                </c:pt>
                <c:pt idx="5">
                  <c:v>244.73684792</c:v>
                </c:pt>
                <c:pt idx="6">
                  <c:v>198.52802210000004</c:v>
                </c:pt>
                <c:pt idx="7">
                  <c:v>215.80838717000029</c:v>
                </c:pt>
                <c:pt idx="8">
                  <c:v>243.13113670000001</c:v>
                </c:pt>
                <c:pt idx="9">
                  <c:v>195.52594496</c:v>
                </c:pt>
                <c:pt idx="10">
                  <c:v>212.89294065000036</c:v>
                </c:pt>
                <c:pt idx="11">
                  <c:v>198.27029227999998</c:v>
                </c:pt>
                <c:pt idx="12">
                  <c:v>227.1661292</c:v>
                </c:pt>
                <c:pt idx="13">
                  <c:v>140.78353704</c:v>
                </c:pt>
                <c:pt idx="14">
                  <c:v>160.06901414999999</c:v>
                </c:pt>
                <c:pt idx="15">
                  <c:v>175.23889726000002</c:v>
                </c:pt>
                <c:pt idx="16">
                  <c:v>145.20920421999995</c:v>
                </c:pt>
                <c:pt idx="17">
                  <c:v>131.49259028</c:v>
                </c:pt>
                <c:pt idx="18">
                  <c:v>129.25954123999998</c:v>
                </c:pt>
                <c:pt idx="19">
                  <c:v>149.50349221999997</c:v>
                </c:pt>
                <c:pt idx="20">
                  <c:v>133.88239964000044</c:v>
                </c:pt>
              </c:numCache>
            </c:numRef>
          </c:val>
          <c:smooth val="0"/>
        </c:ser>
        <c:ser>
          <c:idx val="1"/>
          <c:order val="1"/>
          <c:tx>
            <c:strRef>
              <c:f>'Leading Causes of Death'!$C$2:$C$3</c:f>
              <c:strCache>
                <c:ptCount val="1"/>
                <c:pt idx="0">
                  <c:v>Grant</c:v>
                </c:pt>
              </c:strCache>
            </c:strRef>
          </c:tx>
          <c:marker>
            <c:symbol val="none"/>
          </c:marker>
          <c:cat>
            <c:numRef>
              <c:f>'Leading Causes of Death'!$A$4:$A$24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Death'!$C$4:$C$24</c:f>
              <c:numCache>
                <c:formatCode>0.0</c:formatCode>
                <c:ptCount val="21"/>
                <c:pt idx="0">
                  <c:v>297.21294252000001</c:v>
                </c:pt>
                <c:pt idx="1">
                  <c:v>259.57738093999995</c:v>
                </c:pt>
                <c:pt idx="2">
                  <c:v>276.52054439999995</c:v>
                </c:pt>
                <c:pt idx="3">
                  <c:v>267.98974339</c:v>
                </c:pt>
                <c:pt idx="4">
                  <c:v>278.70179340999925</c:v>
                </c:pt>
                <c:pt idx="5">
                  <c:v>166.49963192999999</c:v>
                </c:pt>
                <c:pt idx="6">
                  <c:v>183.38555323999998</c:v>
                </c:pt>
                <c:pt idx="7">
                  <c:v>240.26468920999974</c:v>
                </c:pt>
                <c:pt idx="8">
                  <c:v>272.72888003999998</c:v>
                </c:pt>
                <c:pt idx="9">
                  <c:v>209.54992723999999</c:v>
                </c:pt>
                <c:pt idx="10">
                  <c:v>182.13033028000001</c:v>
                </c:pt>
                <c:pt idx="11">
                  <c:v>194.73889774</c:v>
                </c:pt>
                <c:pt idx="12">
                  <c:v>179.55166672999999</c:v>
                </c:pt>
                <c:pt idx="13">
                  <c:v>234.40640752000004</c:v>
                </c:pt>
                <c:pt idx="14">
                  <c:v>213.27187726999998</c:v>
                </c:pt>
                <c:pt idx="15">
                  <c:v>159.18084738000047</c:v>
                </c:pt>
                <c:pt idx="16">
                  <c:v>0</c:v>
                </c:pt>
                <c:pt idx="17">
                  <c:v>0</c:v>
                </c:pt>
                <c:pt idx="18">
                  <c:v>0</c:v>
                </c:pt>
                <c:pt idx="19">
                  <c:v>0</c:v>
                </c:pt>
                <c:pt idx="20">
                  <c:v>0</c:v>
                </c:pt>
              </c:numCache>
            </c:numRef>
          </c:val>
          <c:smooth val="0"/>
        </c:ser>
        <c:ser>
          <c:idx val="2"/>
          <c:order val="2"/>
          <c:tx>
            <c:strRef>
              <c:f>'Leading Causes of Death'!$D$2:$D$3</c:f>
              <c:strCache>
                <c:ptCount val="1"/>
                <c:pt idx="0">
                  <c:v>Pope</c:v>
                </c:pt>
              </c:strCache>
            </c:strRef>
          </c:tx>
          <c:marker>
            <c:symbol val="none"/>
          </c:marker>
          <c:cat>
            <c:numRef>
              <c:f>'Leading Causes of Death'!$A$4:$A$24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Death'!$D$4:$D$24</c:f>
              <c:numCache>
                <c:formatCode>0.0</c:formatCode>
                <c:ptCount val="21"/>
                <c:pt idx="0">
                  <c:v>236.37146823</c:v>
                </c:pt>
                <c:pt idx="1">
                  <c:v>195.53970831000001</c:v>
                </c:pt>
                <c:pt idx="2">
                  <c:v>212.55830333000026</c:v>
                </c:pt>
                <c:pt idx="3">
                  <c:v>223.52192555000025</c:v>
                </c:pt>
                <c:pt idx="4">
                  <c:v>272.40572229999964</c:v>
                </c:pt>
                <c:pt idx="5">
                  <c:v>274.63884158000002</c:v>
                </c:pt>
                <c:pt idx="6">
                  <c:v>279.10056429000002</c:v>
                </c:pt>
                <c:pt idx="7">
                  <c:v>323.63976553999998</c:v>
                </c:pt>
                <c:pt idx="8">
                  <c:v>208.72444915000025</c:v>
                </c:pt>
                <c:pt idx="9">
                  <c:v>224.78152946</c:v>
                </c:pt>
                <c:pt idx="10">
                  <c:v>177.18685345</c:v>
                </c:pt>
                <c:pt idx="11">
                  <c:v>192.71178822999974</c:v>
                </c:pt>
                <c:pt idx="12">
                  <c:v>233.8686468500006</c:v>
                </c:pt>
                <c:pt idx="13">
                  <c:v>188.72128604000025</c:v>
                </c:pt>
                <c:pt idx="14">
                  <c:v>126.40408843</c:v>
                </c:pt>
                <c:pt idx="15">
                  <c:v>181.82961383</c:v>
                </c:pt>
                <c:pt idx="16">
                  <c:v>157.42306141</c:v>
                </c:pt>
                <c:pt idx="17">
                  <c:v>139.84552364999999</c:v>
                </c:pt>
                <c:pt idx="18">
                  <c:v>143.67638425999999</c:v>
                </c:pt>
                <c:pt idx="19">
                  <c:v>137.15919364999999</c:v>
                </c:pt>
                <c:pt idx="20">
                  <c:v>157.87115159999999</c:v>
                </c:pt>
              </c:numCache>
            </c:numRef>
          </c:val>
          <c:smooth val="0"/>
        </c:ser>
        <c:ser>
          <c:idx val="3"/>
          <c:order val="3"/>
          <c:tx>
            <c:strRef>
              <c:f>'Leading Causes of Death'!$E$2:$E$3</c:f>
              <c:strCache>
                <c:ptCount val="1"/>
                <c:pt idx="0">
                  <c:v>Stevens</c:v>
                </c:pt>
              </c:strCache>
            </c:strRef>
          </c:tx>
          <c:marker>
            <c:symbol val="none"/>
          </c:marker>
          <c:cat>
            <c:numRef>
              <c:f>'Leading Causes of Death'!$A$4:$A$24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Death'!$E$4:$E$24</c:f>
              <c:numCache>
                <c:formatCode>0.0</c:formatCode>
                <c:ptCount val="21"/>
                <c:pt idx="0">
                  <c:v>360.12635364999937</c:v>
                </c:pt>
                <c:pt idx="1">
                  <c:v>276.82934940999951</c:v>
                </c:pt>
                <c:pt idx="2">
                  <c:v>268.61848672999997</c:v>
                </c:pt>
                <c:pt idx="3">
                  <c:v>242.09765960999999</c:v>
                </c:pt>
                <c:pt idx="4">
                  <c:v>200.25857010999999</c:v>
                </c:pt>
                <c:pt idx="5">
                  <c:v>199.61733706000001</c:v>
                </c:pt>
                <c:pt idx="6">
                  <c:v>205.98406627</c:v>
                </c:pt>
                <c:pt idx="7">
                  <c:v>157.43442461000001</c:v>
                </c:pt>
                <c:pt idx="8">
                  <c:v>167.62080833000007</c:v>
                </c:pt>
                <c:pt idx="9">
                  <c:v>0</c:v>
                </c:pt>
                <c:pt idx="10">
                  <c:v>155.64202548999998</c:v>
                </c:pt>
                <c:pt idx="11">
                  <c:v>159.06622889000027</c:v>
                </c:pt>
                <c:pt idx="12">
                  <c:v>0</c:v>
                </c:pt>
                <c:pt idx="13">
                  <c:v>133.34996438999997</c:v>
                </c:pt>
                <c:pt idx="14">
                  <c:v>0</c:v>
                </c:pt>
                <c:pt idx="15">
                  <c:v>0</c:v>
                </c:pt>
                <c:pt idx="16">
                  <c:v>0</c:v>
                </c:pt>
                <c:pt idx="17">
                  <c:v>0</c:v>
                </c:pt>
                <c:pt idx="18">
                  <c:v>113.14396861</c:v>
                </c:pt>
                <c:pt idx="19">
                  <c:v>0</c:v>
                </c:pt>
                <c:pt idx="20">
                  <c:v>197.78502734000025</c:v>
                </c:pt>
              </c:numCache>
            </c:numRef>
          </c:val>
          <c:smooth val="0"/>
        </c:ser>
        <c:ser>
          <c:idx val="4"/>
          <c:order val="4"/>
          <c:tx>
            <c:strRef>
              <c:f>'Leading Causes of Death'!$F$2:$F$3</c:f>
              <c:strCache>
                <c:ptCount val="1"/>
                <c:pt idx="0">
                  <c:v>Traverse</c:v>
                </c:pt>
              </c:strCache>
            </c:strRef>
          </c:tx>
          <c:marker>
            <c:symbol val="none"/>
          </c:marker>
          <c:cat>
            <c:numRef>
              <c:f>'Leading Causes of Death'!$A$4:$A$24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Death'!$F$4:$F$24</c:f>
              <c:numCache>
                <c:formatCode>0.0</c:formatCode>
                <c:ptCount val="21"/>
                <c:pt idx="0">
                  <c:v>370.93083858999944</c:v>
                </c:pt>
                <c:pt idx="1">
                  <c:v>302.97356151999969</c:v>
                </c:pt>
                <c:pt idx="2">
                  <c:v>273.22062118999997</c:v>
                </c:pt>
                <c:pt idx="3">
                  <c:v>357.24361867999897</c:v>
                </c:pt>
                <c:pt idx="4">
                  <c:v>331.08858625999869</c:v>
                </c:pt>
                <c:pt idx="5">
                  <c:v>308.20169843999969</c:v>
                </c:pt>
                <c:pt idx="6">
                  <c:v>307.88772819000002</c:v>
                </c:pt>
                <c:pt idx="7">
                  <c:v>294.46726983999997</c:v>
                </c:pt>
                <c:pt idx="8">
                  <c:v>339.33008758</c:v>
                </c:pt>
                <c:pt idx="9">
                  <c:v>281.00935351999999</c:v>
                </c:pt>
                <c:pt idx="10">
                  <c:v>244.22701834000026</c:v>
                </c:pt>
                <c:pt idx="11">
                  <c:v>247.03412091000001</c:v>
                </c:pt>
                <c:pt idx="12">
                  <c:v>188.93431862</c:v>
                </c:pt>
                <c:pt idx="13">
                  <c:v>215.05069249000002</c:v>
                </c:pt>
                <c:pt idx="14">
                  <c:v>177.14177323999974</c:v>
                </c:pt>
                <c:pt idx="15">
                  <c:v>0</c:v>
                </c:pt>
                <c:pt idx="16">
                  <c:v>0</c:v>
                </c:pt>
                <c:pt idx="17">
                  <c:v>0</c:v>
                </c:pt>
                <c:pt idx="18">
                  <c:v>0</c:v>
                </c:pt>
                <c:pt idx="19">
                  <c:v>0</c:v>
                </c:pt>
                <c:pt idx="20">
                  <c:v>260.67823713000001</c:v>
                </c:pt>
              </c:numCache>
            </c:numRef>
          </c:val>
          <c:smooth val="0"/>
        </c:ser>
        <c:dLbls>
          <c:showLegendKey val="0"/>
          <c:showVal val="0"/>
          <c:showCatName val="0"/>
          <c:showSerName val="0"/>
          <c:showPercent val="0"/>
          <c:showBubbleSize val="0"/>
        </c:dLbls>
        <c:smooth val="0"/>
        <c:axId val="352887376"/>
        <c:axId val="352887768"/>
      </c:lineChart>
      <c:catAx>
        <c:axId val="352887376"/>
        <c:scaling>
          <c:orientation val="minMax"/>
        </c:scaling>
        <c:delete val="0"/>
        <c:axPos val="b"/>
        <c:numFmt formatCode="General" sourceLinked="1"/>
        <c:majorTickMark val="out"/>
        <c:minorTickMark val="none"/>
        <c:tickLblPos val="nextTo"/>
        <c:crossAx val="352887768"/>
        <c:crosses val="autoZero"/>
        <c:auto val="1"/>
        <c:lblAlgn val="ctr"/>
        <c:lblOffset val="100"/>
        <c:noMultiLvlLbl val="0"/>
      </c:catAx>
      <c:valAx>
        <c:axId val="352887768"/>
        <c:scaling>
          <c:orientation val="minMax"/>
        </c:scaling>
        <c:delete val="0"/>
        <c:axPos val="l"/>
        <c:majorGridlines/>
        <c:numFmt formatCode="0.0" sourceLinked="1"/>
        <c:majorTickMark val="out"/>
        <c:minorTickMark val="none"/>
        <c:tickLblPos val="nextTo"/>
        <c:crossAx val="352887376"/>
        <c:crosses val="autoZero"/>
        <c:crossBetween val="between"/>
      </c:valAx>
    </c:plotArea>
    <c:legend>
      <c:legendPos val="r"/>
      <c:layout>
        <c:manualLayout>
          <c:xMode val="edge"/>
          <c:yMode val="edge"/>
          <c:x val="0.87108387019804356"/>
          <c:y val="0.209132691746865"/>
          <c:w val="0.12891606364217467"/>
          <c:h val="0.51994283651710016"/>
        </c:manualLayout>
      </c:layout>
      <c:overlay val="0"/>
    </c:legend>
    <c:plotVisOnly val="1"/>
    <c:dispBlanksAs val="gap"/>
    <c:showDLblsOverMax val="0"/>
  </c:chart>
  <c:spPr>
    <a:ln>
      <a:noFill/>
    </a:ln>
  </c:spPr>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58622992440097"/>
          <c:y val="7.7639653346247783E-2"/>
          <c:w val="0.72944146687546418"/>
          <c:h val="0.6823731556489161"/>
        </c:manualLayout>
      </c:layout>
      <c:lineChart>
        <c:grouping val="standard"/>
        <c:varyColors val="0"/>
        <c:ser>
          <c:idx val="0"/>
          <c:order val="0"/>
          <c:tx>
            <c:strRef>
              <c:f>'Leading Causes of Death'!$I$2:$I$3</c:f>
              <c:strCache>
                <c:ptCount val="1"/>
                <c:pt idx="0">
                  <c:v>Douglas</c:v>
                </c:pt>
              </c:strCache>
            </c:strRef>
          </c:tx>
          <c:marker>
            <c:symbol val="none"/>
          </c:marker>
          <c:cat>
            <c:numRef>
              <c:f>'Leading Causes of Death'!$H$4:$H$24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Death'!$I$4:$I$24</c:f>
              <c:numCache>
                <c:formatCode>0.0</c:formatCode>
                <c:ptCount val="21"/>
                <c:pt idx="0">
                  <c:v>176.55204904000036</c:v>
                </c:pt>
                <c:pt idx="1">
                  <c:v>175.47054182000002</c:v>
                </c:pt>
                <c:pt idx="2">
                  <c:v>186.10166602999999</c:v>
                </c:pt>
                <c:pt idx="3">
                  <c:v>173.08483494000001</c:v>
                </c:pt>
                <c:pt idx="4">
                  <c:v>229.71649816000001</c:v>
                </c:pt>
                <c:pt idx="5">
                  <c:v>206.58473989000001</c:v>
                </c:pt>
                <c:pt idx="6">
                  <c:v>173.39564639000025</c:v>
                </c:pt>
                <c:pt idx="7">
                  <c:v>164.75677270999998</c:v>
                </c:pt>
                <c:pt idx="8">
                  <c:v>160.42552122999999</c:v>
                </c:pt>
                <c:pt idx="9">
                  <c:v>171.57472307999998</c:v>
                </c:pt>
                <c:pt idx="10">
                  <c:v>177.55199525</c:v>
                </c:pt>
                <c:pt idx="11">
                  <c:v>156.05081423999999</c:v>
                </c:pt>
                <c:pt idx="12">
                  <c:v>182.27005653999998</c:v>
                </c:pt>
                <c:pt idx="13">
                  <c:v>171.17362058999996</c:v>
                </c:pt>
                <c:pt idx="14">
                  <c:v>160.02703828000026</c:v>
                </c:pt>
                <c:pt idx="15">
                  <c:v>181.56267083</c:v>
                </c:pt>
                <c:pt idx="16">
                  <c:v>134.90534991000035</c:v>
                </c:pt>
                <c:pt idx="17">
                  <c:v>160.76350603999998</c:v>
                </c:pt>
                <c:pt idx="18">
                  <c:v>164.98847468000025</c:v>
                </c:pt>
                <c:pt idx="19">
                  <c:v>168.1676343</c:v>
                </c:pt>
                <c:pt idx="20">
                  <c:v>189.81718041000025</c:v>
                </c:pt>
              </c:numCache>
            </c:numRef>
          </c:val>
          <c:smooth val="0"/>
        </c:ser>
        <c:ser>
          <c:idx val="1"/>
          <c:order val="1"/>
          <c:tx>
            <c:strRef>
              <c:f>'Leading Causes of Death'!$J$2:$J$3</c:f>
              <c:strCache>
                <c:ptCount val="1"/>
                <c:pt idx="0">
                  <c:v>Grant</c:v>
                </c:pt>
              </c:strCache>
            </c:strRef>
          </c:tx>
          <c:marker>
            <c:symbol val="none"/>
          </c:marker>
          <c:cat>
            <c:numRef>
              <c:f>'Leading Causes of Death'!$H$4:$H$24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Death'!$J$4:$J$24</c:f>
              <c:numCache>
                <c:formatCode>0.0</c:formatCode>
                <c:ptCount val="21"/>
                <c:pt idx="0">
                  <c:v>274.82418715</c:v>
                </c:pt>
                <c:pt idx="1">
                  <c:v>259.89307683999999</c:v>
                </c:pt>
                <c:pt idx="2">
                  <c:v>0</c:v>
                </c:pt>
                <c:pt idx="3">
                  <c:v>0</c:v>
                </c:pt>
                <c:pt idx="4">
                  <c:v>0</c:v>
                </c:pt>
                <c:pt idx="5">
                  <c:v>199.4344002</c:v>
                </c:pt>
                <c:pt idx="6">
                  <c:v>0</c:v>
                </c:pt>
                <c:pt idx="7">
                  <c:v>0</c:v>
                </c:pt>
                <c:pt idx="8">
                  <c:v>0</c:v>
                </c:pt>
                <c:pt idx="9">
                  <c:v>0</c:v>
                </c:pt>
                <c:pt idx="10">
                  <c:v>0</c:v>
                </c:pt>
                <c:pt idx="11">
                  <c:v>0</c:v>
                </c:pt>
                <c:pt idx="12">
                  <c:v>0</c:v>
                </c:pt>
                <c:pt idx="13">
                  <c:v>0</c:v>
                </c:pt>
                <c:pt idx="14">
                  <c:v>0</c:v>
                </c:pt>
                <c:pt idx="15">
                  <c:v>0</c:v>
                </c:pt>
                <c:pt idx="16">
                  <c:v>216.04918137999999</c:v>
                </c:pt>
                <c:pt idx="17">
                  <c:v>231.85668302000002</c:v>
                </c:pt>
                <c:pt idx="18">
                  <c:v>191.70315613999998</c:v>
                </c:pt>
                <c:pt idx="19">
                  <c:v>204.59896756000001</c:v>
                </c:pt>
                <c:pt idx="20">
                  <c:v>0</c:v>
                </c:pt>
              </c:numCache>
            </c:numRef>
          </c:val>
          <c:smooth val="0"/>
        </c:ser>
        <c:ser>
          <c:idx val="2"/>
          <c:order val="2"/>
          <c:tx>
            <c:strRef>
              <c:f>'Leading Causes of Death'!$K$2:$K$3</c:f>
              <c:strCache>
                <c:ptCount val="1"/>
                <c:pt idx="0">
                  <c:v>Pope</c:v>
                </c:pt>
              </c:strCache>
            </c:strRef>
          </c:tx>
          <c:marker>
            <c:symbol val="none"/>
          </c:marker>
          <c:cat>
            <c:numRef>
              <c:f>'Leading Causes of Death'!$H$4:$H$24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Death'!$K$4:$K$24</c:f>
              <c:numCache>
                <c:formatCode>0.0</c:formatCode>
                <c:ptCount val="21"/>
                <c:pt idx="0">
                  <c:v>129.74621406999998</c:v>
                </c:pt>
                <c:pt idx="1">
                  <c:v>174.11027946999999</c:v>
                </c:pt>
                <c:pt idx="2">
                  <c:v>199.65471873999999</c:v>
                </c:pt>
                <c:pt idx="3">
                  <c:v>193.47185921999997</c:v>
                </c:pt>
                <c:pt idx="4">
                  <c:v>176.93843841000057</c:v>
                </c:pt>
                <c:pt idx="5">
                  <c:v>195.96067259999998</c:v>
                </c:pt>
                <c:pt idx="6">
                  <c:v>219.76195841999998</c:v>
                </c:pt>
                <c:pt idx="7">
                  <c:v>194.3036757399997</c:v>
                </c:pt>
                <c:pt idx="8">
                  <c:v>219.10287977999999</c:v>
                </c:pt>
                <c:pt idx="9">
                  <c:v>163.40043057000025</c:v>
                </c:pt>
                <c:pt idx="10">
                  <c:v>196.79482146999999</c:v>
                </c:pt>
                <c:pt idx="11">
                  <c:v>165.70881058000001</c:v>
                </c:pt>
                <c:pt idx="12">
                  <c:v>176.42123851000051</c:v>
                </c:pt>
                <c:pt idx="13">
                  <c:v>150.62484788000029</c:v>
                </c:pt>
                <c:pt idx="14">
                  <c:v>156.86832297000032</c:v>
                </c:pt>
                <c:pt idx="15">
                  <c:v>145.71412265999999</c:v>
                </c:pt>
                <c:pt idx="16">
                  <c:v>234.70736952000001</c:v>
                </c:pt>
                <c:pt idx="17">
                  <c:v>155.02748817000025</c:v>
                </c:pt>
                <c:pt idx="18">
                  <c:v>208.13254002000002</c:v>
                </c:pt>
                <c:pt idx="19">
                  <c:v>167.69346672999998</c:v>
                </c:pt>
                <c:pt idx="20">
                  <c:v>131.66690993</c:v>
                </c:pt>
              </c:numCache>
            </c:numRef>
          </c:val>
          <c:smooth val="0"/>
        </c:ser>
        <c:ser>
          <c:idx val="3"/>
          <c:order val="3"/>
          <c:tx>
            <c:strRef>
              <c:f>'Leading Causes of Death'!$L$2:$L$3</c:f>
              <c:strCache>
                <c:ptCount val="1"/>
                <c:pt idx="0">
                  <c:v>Stevens</c:v>
                </c:pt>
              </c:strCache>
            </c:strRef>
          </c:tx>
          <c:marker>
            <c:symbol val="none"/>
          </c:marker>
          <c:cat>
            <c:numRef>
              <c:f>'Leading Causes of Death'!$H$4:$H$24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Death'!$L$4:$L$24</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ser>
          <c:idx val="4"/>
          <c:order val="4"/>
          <c:tx>
            <c:strRef>
              <c:f>'Leading Causes of Death'!$M$2:$M$3</c:f>
              <c:strCache>
                <c:ptCount val="1"/>
                <c:pt idx="0">
                  <c:v>Traverse</c:v>
                </c:pt>
              </c:strCache>
            </c:strRef>
          </c:tx>
          <c:marker>
            <c:symbol val="none"/>
          </c:marker>
          <c:cat>
            <c:numRef>
              <c:f>'Leading Causes of Death'!$H$4:$H$24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'Leading Causes of Death'!$M$4:$M$24</c:f>
              <c:numCache>
                <c:formatCode>0.0</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ser>
        <c:dLbls>
          <c:showLegendKey val="0"/>
          <c:showVal val="0"/>
          <c:showCatName val="0"/>
          <c:showSerName val="0"/>
          <c:showPercent val="0"/>
          <c:showBubbleSize val="0"/>
        </c:dLbls>
        <c:smooth val="0"/>
        <c:axId val="352888552"/>
        <c:axId val="352888944"/>
      </c:lineChart>
      <c:catAx>
        <c:axId val="352888552"/>
        <c:scaling>
          <c:orientation val="minMax"/>
        </c:scaling>
        <c:delete val="0"/>
        <c:axPos val="b"/>
        <c:numFmt formatCode="General" sourceLinked="1"/>
        <c:majorTickMark val="out"/>
        <c:minorTickMark val="none"/>
        <c:tickLblPos val="nextTo"/>
        <c:crossAx val="352888944"/>
        <c:crosses val="autoZero"/>
        <c:auto val="1"/>
        <c:lblAlgn val="ctr"/>
        <c:lblOffset val="100"/>
        <c:noMultiLvlLbl val="0"/>
      </c:catAx>
      <c:valAx>
        <c:axId val="352888944"/>
        <c:scaling>
          <c:orientation val="minMax"/>
        </c:scaling>
        <c:delete val="0"/>
        <c:axPos val="l"/>
        <c:majorGridlines/>
        <c:numFmt formatCode="0.0" sourceLinked="1"/>
        <c:majorTickMark val="out"/>
        <c:minorTickMark val="none"/>
        <c:tickLblPos val="nextTo"/>
        <c:crossAx val="352888552"/>
        <c:crosses val="autoZero"/>
        <c:crossBetween val="between"/>
      </c:valAx>
    </c:plotArea>
    <c:legend>
      <c:legendPos val="r"/>
      <c:layout>
        <c:manualLayout>
          <c:xMode val="edge"/>
          <c:yMode val="edge"/>
          <c:x val="0.84842196127125658"/>
          <c:y val="0.19522276536045538"/>
          <c:w val="0.12398942790631352"/>
          <c:h val="0.47709039214995858"/>
        </c:manualLayout>
      </c:layout>
      <c:overlay val="0"/>
    </c:legend>
    <c:plotVisOnly val="1"/>
    <c:dispBlanksAs val="gap"/>
    <c:showDLblsOverMax val="0"/>
  </c:chart>
  <c:spPr>
    <a:ln>
      <a:noFill/>
    </a:ln>
  </c:sp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40011665208512E-2"/>
          <c:y val="6.4362432956750162E-2"/>
          <c:w val="0.75451688471613487"/>
          <c:h val="0.68408976439644054"/>
        </c:manualLayout>
      </c:layout>
      <c:lineChart>
        <c:grouping val="standard"/>
        <c:varyColors val="0"/>
        <c:ser>
          <c:idx val="0"/>
          <c:order val="0"/>
          <c:tx>
            <c:v>Douglas</c:v>
          </c:tx>
          <c:marker>
            <c:symbol val="none"/>
          </c:marker>
          <c:cat>
            <c:numRef>
              <c:f>Douglas!$BO$4:$BO$24</c:f>
              <c:numCache>
                <c:formatCode>General</c:formatCode>
                <c:ptCount val="2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numCache>
            </c:numRef>
          </c:cat>
          <c:val>
            <c:numRef>
              <c:f>Douglas!$BV$4:$BV$24</c:f>
              <c:numCache>
                <c:formatCode>General</c:formatCode>
                <c:ptCount val="21"/>
                <c:pt idx="0">
                  <c:v>32</c:v>
                </c:pt>
                <c:pt idx="1">
                  <c:v>23</c:v>
                </c:pt>
                <c:pt idx="2">
                  <c:v>32</c:v>
                </c:pt>
                <c:pt idx="3">
                  <c:v>34</c:v>
                </c:pt>
                <c:pt idx="4">
                  <c:v>33</c:v>
                </c:pt>
                <c:pt idx="5">
                  <c:v>30</c:v>
                </c:pt>
                <c:pt idx="6">
                  <c:v>32</c:v>
                </c:pt>
                <c:pt idx="7">
                  <c:v>32</c:v>
                </c:pt>
                <c:pt idx="8">
                  <c:v>35</c:v>
                </c:pt>
                <c:pt idx="9">
                  <c:v>23</c:v>
                </c:pt>
                <c:pt idx="10">
                  <c:v>34</c:v>
                </c:pt>
                <c:pt idx="11">
                  <c:v>20</c:v>
                </c:pt>
                <c:pt idx="12">
                  <c:v>24</c:v>
                </c:pt>
                <c:pt idx="13">
                  <c:v>28</c:v>
                </c:pt>
                <c:pt idx="14">
                  <c:v>21</c:v>
                </c:pt>
                <c:pt idx="15">
                  <c:v>27</c:v>
                </c:pt>
                <c:pt idx="16">
                  <c:v>23</c:v>
                </c:pt>
                <c:pt idx="17">
                  <c:v>22</c:v>
                </c:pt>
                <c:pt idx="18">
                  <c:v>20</c:v>
                </c:pt>
                <c:pt idx="19">
                  <c:v>25</c:v>
                </c:pt>
                <c:pt idx="20">
                  <c:v>25</c:v>
                </c:pt>
              </c:numCache>
            </c:numRef>
          </c:val>
          <c:smooth val="0"/>
        </c:ser>
        <c:ser>
          <c:idx val="1"/>
          <c:order val="1"/>
          <c:tx>
            <c:v>Grant</c:v>
          </c:tx>
          <c:marker>
            <c:symbol val="none"/>
          </c:marker>
          <c:val>
            <c:numRef>
              <c:f>Grant!$BV$4:$BV$24</c:f>
              <c:numCache>
                <c:formatCode>General</c:formatCode>
                <c:ptCount val="21"/>
                <c:pt idx="0">
                  <c:v>8</c:v>
                </c:pt>
                <c:pt idx="1">
                  <c:v>6</c:v>
                </c:pt>
                <c:pt idx="2">
                  <c:v>5</c:v>
                </c:pt>
                <c:pt idx="3">
                  <c:v>5</c:v>
                </c:pt>
                <c:pt idx="4">
                  <c:v>9</c:v>
                </c:pt>
                <c:pt idx="5">
                  <c:v>6</c:v>
                </c:pt>
                <c:pt idx="6">
                  <c:v>4</c:v>
                </c:pt>
                <c:pt idx="7">
                  <c:v>13</c:v>
                </c:pt>
                <c:pt idx="8">
                  <c:v>6</c:v>
                </c:pt>
                <c:pt idx="9">
                  <c:v>8</c:v>
                </c:pt>
                <c:pt idx="10">
                  <c:v>4</c:v>
                </c:pt>
                <c:pt idx="11">
                  <c:v>6</c:v>
                </c:pt>
                <c:pt idx="12">
                  <c:v>5</c:v>
                </c:pt>
                <c:pt idx="13">
                  <c:v>8</c:v>
                </c:pt>
                <c:pt idx="14">
                  <c:v>3</c:v>
                </c:pt>
                <c:pt idx="15">
                  <c:v>4</c:v>
                </c:pt>
                <c:pt idx="16">
                  <c:v>4</c:v>
                </c:pt>
                <c:pt idx="17">
                  <c:v>4</c:v>
                </c:pt>
                <c:pt idx="18">
                  <c:v>5</c:v>
                </c:pt>
                <c:pt idx="19">
                  <c:v>4</c:v>
                </c:pt>
                <c:pt idx="20">
                  <c:v>3</c:v>
                </c:pt>
              </c:numCache>
            </c:numRef>
          </c:val>
          <c:smooth val="0"/>
        </c:ser>
        <c:ser>
          <c:idx val="2"/>
          <c:order val="2"/>
          <c:tx>
            <c:v>Pope</c:v>
          </c:tx>
          <c:marker>
            <c:symbol val="none"/>
          </c:marker>
          <c:val>
            <c:numRef>
              <c:f>Pope!$BV$4:$BV$24</c:f>
              <c:numCache>
                <c:formatCode>General</c:formatCode>
                <c:ptCount val="21"/>
                <c:pt idx="0">
                  <c:v>0</c:v>
                </c:pt>
                <c:pt idx="1">
                  <c:v>14</c:v>
                </c:pt>
                <c:pt idx="2">
                  <c:v>6</c:v>
                </c:pt>
                <c:pt idx="3">
                  <c:v>3</c:v>
                </c:pt>
                <c:pt idx="4">
                  <c:v>12</c:v>
                </c:pt>
                <c:pt idx="5">
                  <c:v>11</c:v>
                </c:pt>
                <c:pt idx="6">
                  <c:v>13</c:v>
                </c:pt>
                <c:pt idx="7">
                  <c:v>10</c:v>
                </c:pt>
                <c:pt idx="8">
                  <c:v>12</c:v>
                </c:pt>
                <c:pt idx="9">
                  <c:v>13</c:v>
                </c:pt>
                <c:pt idx="10">
                  <c:v>18</c:v>
                </c:pt>
                <c:pt idx="11">
                  <c:v>12</c:v>
                </c:pt>
                <c:pt idx="12">
                  <c:v>17</c:v>
                </c:pt>
                <c:pt idx="13">
                  <c:v>11</c:v>
                </c:pt>
                <c:pt idx="14">
                  <c:v>14</c:v>
                </c:pt>
                <c:pt idx="15">
                  <c:v>10</c:v>
                </c:pt>
                <c:pt idx="16">
                  <c:v>11</c:v>
                </c:pt>
                <c:pt idx="17">
                  <c:v>4</c:v>
                </c:pt>
                <c:pt idx="18">
                  <c:v>19</c:v>
                </c:pt>
                <c:pt idx="19">
                  <c:v>8</c:v>
                </c:pt>
                <c:pt idx="20">
                  <c:v>10</c:v>
                </c:pt>
              </c:numCache>
            </c:numRef>
          </c:val>
          <c:smooth val="0"/>
        </c:ser>
        <c:ser>
          <c:idx val="3"/>
          <c:order val="3"/>
          <c:tx>
            <c:v>Stevens</c:v>
          </c:tx>
          <c:marker>
            <c:symbol val="none"/>
          </c:marker>
          <c:val>
            <c:numRef>
              <c:f>Stevens!$BV$4:$BV$24</c:f>
              <c:numCache>
                <c:formatCode>General</c:formatCode>
                <c:ptCount val="21"/>
                <c:pt idx="0">
                  <c:v>0</c:v>
                </c:pt>
                <c:pt idx="1">
                  <c:v>13</c:v>
                </c:pt>
                <c:pt idx="2">
                  <c:v>8</c:v>
                </c:pt>
                <c:pt idx="3">
                  <c:v>7</c:v>
                </c:pt>
                <c:pt idx="4">
                  <c:v>7</c:v>
                </c:pt>
                <c:pt idx="5">
                  <c:v>7</c:v>
                </c:pt>
                <c:pt idx="6">
                  <c:v>10</c:v>
                </c:pt>
                <c:pt idx="7">
                  <c:v>3</c:v>
                </c:pt>
                <c:pt idx="8">
                  <c:v>6</c:v>
                </c:pt>
                <c:pt idx="9">
                  <c:v>10</c:v>
                </c:pt>
                <c:pt idx="10">
                  <c:v>9</c:v>
                </c:pt>
                <c:pt idx="11">
                  <c:v>6</c:v>
                </c:pt>
                <c:pt idx="12">
                  <c:v>5</c:v>
                </c:pt>
                <c:pt idx="13">
                  <c:v>9</c:v>
                </c:pt>
                <c:pt idx="14">
                  <c:v>7</c:v>
                </c:pt>
                <c:pt idx="15">
                  <c:v>7</c:v>
                </c:pt>
                <c:pt idx="16">
                  <c:v>5</c:v>
                </c:pt>
                <c:pt idx="17">
                  <c:v>8</c:v>
                </c:pt>
                <c:pt idx="18">
                  <c:v>2</c:v>
                </c:pt>
                <c:pt idx="19">
                  <c:v>7</c:v>
                </c:pt>
                <c:pt idx="20">
                  <c:v>7</c:v>
                </c:pt>
              </c:numCache>
            </c:numRef>
          </c:val>
          <c:smooth val="0"/>
        </c:ser>
        <c:ser>
          <c:idx val="4"/>
          <c:order val="4"/>
          <c:tx>
            <c:v>Traverse</c:v>
          </c:tx>
          <c:marker>
            <c:symbol val="none"/>
          </c:marker>
          <c:val>
            <c:numRef>
              <c:f>Traverse!$BV$4:$BV$24</c:f>
              <c:numCache>
                <c:formatCode>General</c:formatCode>
                <c:ptCount val="21"/>
                <c:pt idx="0">
                  <c:v>0</c:v>
                </c:pt>
                <c:pt idx="1">
                  <c:v>4</c:v>
                </c:pt>
                <c:pt idx="2">
                  <c:v>4</c:v>
                </c:pt>
                <c:pt idx="3">
                  <c:v>5</c:v>
                </c:pt>
                <c:pt idx="4">
                  <c:v>1</c:v>
                </c:pt>
                <c:pt idx="5">
                  <c:v>0</c:v>
                </c:pt>
                <c:pt idx="6">
                  <c:v>3</c:v>
                </c:pt>
                <c:pt idx="7">
                  <c:v>3</c:v>
                </c:pt>
                <c:pt idx="8">
                  <c:v>0</c:v>
                </c:pt>
                <c:pt idx="9">
                  <c:v>1</c:v>
                </c:pt>
                <c:pt idx="10">
                  <c:v>7</c:v>
                </c:pt>
                <c:pt idx="11">
                  <c:v>2</c:v>
                </c:pt>
                <c:pt idx="12">
                  <c:v>4</c:v>
                </c:pt>
                <c:pt idx="13">
                  <c:v>2</c:v>
                </c:pt>
                <c:pt idx="14">
                  <c:v>2</c:v>
                </c:pt>
                <c:pt idx="15">
                  <c:v>5</c:v>
                </c:pt>
                <c:pt idx="16">
                  <c:v>0</c:v>
                </c:pt>
                <c:pt idx="17">
                  <c:v>4</c:v>
                </c:pt>
                <c:pt idx="18">
                  <c:v>5</c:v>
                </c:pt>
                <c:pt idx="19">
                  <c:v>2</c:v>
                </c:pt>
                <c:pt idx="20">
                  <c:v>5</c:v>
                </c:pt>
              </c:numCache>
            </c:numRef>
          </c:val>
          <c:smooth val="0"/>
        </c:ser>
        <c:dLbls>
          <c:showLegendKey val="0"/>
          <c:showVal val="0"/>
          <c:showCatName val="0"/>
          <c:showSerName val="0"/>
          <c:showPercent val="0"/>
          <c:showBubbleSize val="0"/>
        </c:dLbls>
        <c:smooth val="0"/>
        <c:axId val="352889728"/>
        <c:axId val="352890120"/>
      </c:lineChart>
      <c:catAx>
        <c:axId val="352889728"/>
        <c:scaling>
          <c:orientation val="minMax"/>
        </c:scaling>
        <c:delete val="0"/>
        <c:axPos val="b"/>
        <c:title>
          <c:tx>
            <c:rich>
              <a:bodyPr/>
              <a:lstStyle/>
              <a:p>
                <a:pPr>
                  <a:defRPr b="0" i="1">
                    <a:solidFill>
                      <a:schemeClr val="tx1">
                        <a:lumMod val="50000"/>
                        <a:lumOff val="50000"/>
                      </a:schemeClr>
                    </a:solidFill>
                  </a:defRPr>
                </a:pPr>
                <a:r>
                  <a:rPr lang="en-US" b="0" i="1">
                    <a:solidFill>
                      <a:schemeClr val="tx1">
                        <a:lumMod val="50000"/>
                        <a:lumOff val="50000"/>
                      </a:schemeClr>
                    </a:solidFill>
                  </a:rPr>
                  <a:t>Source: Minnesota Department of Health, Canter for Health Statistics</a:t>
                </a:r>
              </a:p>
            </c:rich>
          </c:tx>
          <c:layout>
            <c:manualLayout>
              <c:xMode val="edge"/>
              <c:yMode val="edge"/>
              <c:x val="3.2613270279990272E-4"/>
              <c:y val="0.9118548442314276"/>
            </c:manualLayout>
          </c:layout>
          <c:overlay val="0"/>
        </c:title>
        <c:numFmt formatCode="General" sourceLinked="1"/>
        <c:majorTickMark val="out"/>
        <c:minorTickMark val="none"/>
        <c:tickLblPos val="nextTo"/>
        <c:txPr>
          <a:bodyPr rot="-2700000" vert="horz"/>
          <a:lstStyle/>
          <a:p>
            <a:pPr>
              <a:defRPr/>
            </a:pPr>
            <a:endParaRPr lang="en-US"/>
          </a:p>
        </c:txPr>
        <c:crossAx val="352890120"/>
        <c:crosses val="autoZero"/>
        <c:auto val="1"/>
        <c:lblAlgn val="ctr"/>
        <c:lblOffset val="100"/>
        <c:noMultiLvlLbl val="0"/>
      </c:catAx>
      <c:valAx>
        <c:axId val="352890120"/>
        <c:scaling>
          <c:orientation val="minMax"/>
        </c:scaling>
        <c:delete val="0"/>
        <c:axPos val="l"/>
        <c:majorGridlines/>
        <c:title>
          <c:tx>
            <c:rich>
              <a:bodyPr rot="-5400000" vert="horz"/>
              <a:lstStyle/>
              <a:p>
                <a:pPr>
                  <a:defRPr/>
                </a:pPr>
                <a:r>
                  <a:rPr lang="en-US" sz="1200"/>
                  <a:t>Number of Deaths</a:t>
                </a:r>
              </a:p>
            </c:rich>
          </c:tx>
          <c:layout>
            <c:manualLayout>
              <c:xMode val="edge"/>
              <c:yMode val="edge"/>
              <c:x val="6.6814583265022093E-3"/>
              <c:y val="0.15601534423581673"/>
            </c:manualLayout>
          </c:layout>
          <c:overlay val="0"/>
        </c:title>
        <c:numFmt formatCode="General" sourceLinked="1"/>
        <c:majorTickMark val="out"/>
        <c:minorTickMark val="none"/>
        <c:tickLblPos val="nextTo"/>
        <c:crossAx val="352889728"/>
        <c:crosses val="autoZero"/>
        <c:crossBetween val="between"/>
      </c:valAx>
    </c:plotArea>
    <c:legend>
      <c:legendPos val="r"/>
      <c:layout>
        <c:manualLayout>
          <c:xMode val="edge"/>
          <c:yMode val="edge"/>
          <c:x val="0.86831710709318577"/>
          <c:y val="0.16093314039477791"/>
          <c:w val="0.12055632823365797"/>
          <c:h val="0.47630409771548127"/>
        </c:manualLayout>
      </c:layout>
      <c:overlay val="0"/>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167920681428573"/>
          <c:y val="3.3128455155274399E-2"/>
          <c:w val="0.88775196898458764"/>
          <c:h val="0.78497524942932662"/>
        </c:manualLayout>
      </c:layout>
      <c:barChart>
        <c:barDir val="col"/>
        <c:grouping val="clustered"/>
        <c:varyColors val="0"/>
        <c:ser>
          <c:idx val="0"/>
          <c:order val="0"/>
          <c:tx>
            <c:v>Minnesota</c:v>
          </c:tx>
          <c:invertIfNegative val="0"/>
          <c:cat>
            <c:strRef>
              <c:f>Cancer!$A$5:$A$7</c:f>
              <c:strCache>
                <c:ptCount val="3"/>
                <c:pt idx="0">
                  <c:v>2000-2002</c:v>
                </c:pt>
                <c:pt idx="1">
                  <c:v>2003-2005</c:v>
                </c:pt>
                <c:pt idx="2">
                  <c:v>2006-2008</c:v>
                </c:pt>
              </c:strCache>
            </c:strRef>
          </c:cat>
          <c:val>
            <c:numRef>
              <c:f>Cancer!$E$5:$E$7</c:f>
              <c:numCache>
                <c:formatCode>0.0%</c:formatCode>
                <c:ptCount val="3"/>
                <c:pt idx="0">
                  <c:v>0.15500000000000028</c:v>
                </c:pt>
                <c:pt idx="1">
                  <c:v>0.14677103718199652</c:v>
                </c:pt>
                <c:pt idx="2">
                  <c:v>0.14297428251956795</c:v>
                </c:pt>
              </c:numCache>
            </c:numRef>
          </c:val>
        </c:ser>
        <c:ser>
          <c:idx val="1"/>
          <c:order val="1"/>
          <c:tx>
            <c:v>Horizons</c:v>
          </c:tx>
          <c:invertIfNegative val="0"/>
          <c:val>
            <c:numRef>
              <c:f>Cancer!$E$12:$E$14</c:f>
              <c:numCache>
                <c:formatCode>0.0%</c:formatCode>
                <c:ptCount val="3"/>
                <c:pt idx="0">
                  <c:v>0.12916666666666668</c:v>
                </c:pt>
                <c:pt idx="1">
                  <c:v>0.13333333333333341</c:v>
                </c:pt>
                <c:pt idx="2">
                  <c:v>0.11382113821138212</c:v>
                </c:pt>
              </c:numCache>
            </c:numRef>
          </c:val>
        </c:ser>
        <c:ser>
          <c:idx val="2"/>
          <c:order val="2"/>
          <c:tx>
            <c:v>Douglas</c:v>
          </c:tx>
          <c:invertIfNegative val="0"/>
          <c:val>
            <c:numRef>
              <c:f>Cancer!$E$19:$E$21</c:f>
              <c:numCache>
                <c:formatCode>0.0%</c:formatCode>
                <c:ptCount val="3"/>
                <c:pt idx="0">
                  <c:v>0.14035087719298245</c:v>
                </c:pt>
                <c:pt idx="1">
                  <c:v>0.15929203539823059</c:v>
                </c:pt>
                <c:pt idx="2">
                  <c:v>0.11206896551724138</c:v>
                </c:pt>
              </c:numCache>
            </c:numRef>
          </c:val>
        </c:ser>
        <c:ser>
          <c:idx val="3"/>
          <c:order val="3"/>
          <c:tx>
            <c:v>Grant</c:v>
          </c:tx>
          <c:invertIfNegative val="0"/>
          <c:val>
            <c:numRef>
              <c:f>Cancer!$E$26:$E$28</c:f>
              <c:numCache>
                <c:formatCode>0.0%</c:formatCode>
                <c:ptCount val="3"/>
                <c:pt idx="0">
                  <c:v>0</c:v>
                </c:pt>
                <c:pt idx="1">
                  <c:v>0.15384615384615427</c:v>
                </c:pt>
                <c:pt idx="2">
                  <c:v>0.14285714285714324</c:v>
                </c:pt>
              </c:numCache>
            </c:numRef>
          </c:val>
        </c:ser>
        <c:ser>
          <c:idx val="4"/>
          <c:order val="4"/>
          <c:tx>
            <c:v>Pope</c:v>
          </c:tx>
          <c:invertIfNegative val="0"/>
          <c:val>
            <c:numRef>
              <c:f>Cancer!$E$33:$E$35</c:f>
              <c:numCache>
                <c:formatCode>0.0%</c:formatCode>
                <c:ptCount val="3"/>
                <c:pt idx="0">
                  <c:v>0.14634146341463442</c:v>
                </c:pt>
                <c:pt idx="1">
                  <c:v>8.1081081081081086E-2</c:v>
                </c:pt>
                <c:pt idx="2">
                  <c:v>5.5555555555555455E-2</c:v>
                </c:pt>
              </c:numCache>
            </c:numRef>
          </c:val>
        </c:ser>
        <c:ser>
          <c:idx val="5"/>
          <c:order val="5"/>
          <c:tx>
            <c:v>Stevens</c:v>
          </c:tx>
          <c:invertIfNegative val="0"/>
          <c:val>
            <c:numRef>
              <c:f>Cancer!$E$40:$E$42</c:f>
              <c:numCache>
                <c:formatCode>0.0%</c:formatCode>
                <c:ptCount val="3"/>
                <c:pt idx="0">
                  <c:v>5.8823529411764705E-2</c:v>
                </c:pt>
                <c:pt idx="1">
                  <c:v>6.666666666666668E-2</c:v>
                </c:pt>
                <c:pt idx="2">
                  <c:v>0.28000000000000008</c:v>
                </c:pt>
              </c:numCache>
            </c:numRef>
          </c:val>
        </c:ser>
        <c:ser>
          <c:idx val="6"/>
          <c:order val="6"/>
          <c:tx>
            <c:v>Traverse</c:v>
          </c:tx>
          <c:invertIfNegative val="0"/>
          <c:val>
            <c:numRef>
              <c:f>Cancer!$E$47:$E$49</c:f>
              <c:numCache>
                <c:formatCode>0.0%</c:formatCode>
                <c:ptCount val="3"/>
                <c:pt idx="0">
                  <c:v>0.25</c:v>
                </c:pt>
                <c:pt idx="1">
                  <c:v>0.15789473684210581</c:v>
                </c:pt>
                <c:pt idx="2">
                  <c:v>0</c:v>
                </c:pt>
              </c:numCache>
            </c:numRef>
          </c:val>
        </c:ser>
        <c:dLbls>
          <c:showLegendKey val="0"/>
          <c:showVal val="0"/>
          <c:showCatName val="0"/>
          <c:showSerName val="0"/>
          <c:showPercent val="0"/>
          <c:showBubbleSize val="0"/>
        </c:dLbls>
        <c:gapWidth val="150"/>
        <c:axId val="352890512"/>
        <c:axId val="352890904"/>
      </c:barChart>
      <c:catAx>
        <c:axId val="352890512"/>
        <c:scaling>
          <c:orientation val="minMax"/>
        </c:scaling>
        <c:delete val="0"/>
        <c:axPos val="b"/>
        <c:numFmt formatCode="General" sourceLinked="0"/>
        <c:majorTickMark val="out"/>
        <c:minorTickMark val="none"/>
        <c:tickLblPos val="nextTo"/>
        <c:crossAx val="352890904"/>
        <c:crosses val="autoZero"/>
        <c:auto val="1"/>
        <c:lblAlgn val="ctr"/>
        <c:lblOffset val="100"/>
        <c:noMultiLvlLbl val="0"/>
      </c:catAx>
      <c:valAx>
        <c:axId val="352890904"/>
        <c:scaling>
          <c:orientation val="minMax"/>
        </c:scaling>
        <c:delete val="0"/>
        <c:axPos val="l"/>
        <c:majorGridlines/>
        <c:numFmt formatCode="0.0%" sourceLinked="1"/>
        <c:majorTickMark val="out"/>
        <c:minorTickMark val="none"/>
        <c:tickLblPos val="nextTo"/>
        <c:crossAx val="352890512"/>
        <c:crosses val="autoZero"/>
        <c:crossBetween val="between"/>
      </c:valAx>
    </c:plotArea>
    <c:plotVisOnly val="1"/>
    <c:dispBlanksAs val="gap"/>
    <c:showDLblsOverMax val="0"/>
  </c:chart>
  <c:spPr>
    <a:ln>
      <a:noFill/>
    </a:ln>
  </c:sp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4759359774333525"/>
          <c:y val="4.079119525898571E-2"/>
          <c:w val="0.85240640225666497"/>
          <c:h val="0.80120200469936298"/>
        </c:manualLayout>
      </c:layout>
      <c:barChart>
        <c:barDir val="col"/>
        <c:grouping val="clustered"/>
        <c:varyColors val="0"/>
        <c:ser>
          <c:idx val="0"/>
          <c:order val="0"/>
          <c:tx>
            <c:v>Minnesota</c:v>
          </c:tx>
          <c:invertIfNegative val="0"/>
          <c:cat>
            <c:strRef>
              <c:f>Cancer!$A$5:$A$7</c:f>
              <c:strCache>
                <c:ptCount val="3"/>
                <c:pt idx="0">
                  <c:v>2000-2002</c:v>
                </c:pt>
                <c:pt idx="1">
                  <c:v>2003-2005</c:v>
                </c:pt>
                <c:pt idx="2">
                  <c:v>2006-2008</c:v>
                </c:pt>
              </c:strCache>
            </c:strRef>
          </c:cat>
          <c:val>
            <c:numRef>
              <c:f>Cancer!$K$5:$K$7</c:f>
              <c:numCache>
                <c:formatCode>0.0%</c:formatCode>
                <c:ptCount val="3"/>
                <c:pt idx="0">
                  <c:v>9.9842508149287842E-2</c:v>
                </c:pt>
                <c:pt idx="1">
                  <c:v>9.400605300066453E-2</c:v>
                </c:pt>
                <c:pt idx="2">
                  <c:v>9.1175195143105001E-2</c:v>
                </c:pt>
              </c:numCache>
            </c:numRef>
          </c:val>
        </c:ser>
        <c:ser>
          <c:idx val="1"/>
          <c:order val="1"/>
          <c:tx>
            <c:v>Horizons</c:v>
          </c:tx>
          <c:invertIfNegative val="0"/>
          <c:val>
            <c:numRef>
              <c:f>Cancer!$K$12:$K$14</c:f>
              <c:numCache>
                <c:formatCode>0.0%</c:formatCode>
                <c:ptCount val="3"/>
                <c:pt idx="0">
                  <c:v>0.13360323886639724</c:v>
                </c:pt>
                <c:pt idx="1">
                  <c:v>0.1014799154334038</c:v>
                </c:pt>
                <c:pt idx="2">
                  <c:v>0.10412573673870361</c:v>
                </c:pt>
              </c:numCache>
            </c:numRef>
          </c:val>
        </c:ser>
        <c:ser>
          <c:idx val="2"/>
          <c:order val="2"/>
          <c:tx>
            <c:v>Douglas</c:v>
          </c:tx>
          <c:invertIfNegative val="0"/>
          <c:val>
            <c:numRef>
              <c:f>Cancer!$K$19:$K$21</c:f>
              <c:numCache>
                <c:formatCode>0.0%</c:formatCode>
                <c:ptCount val="3"/>
                <c:pt idx="0">
                  <c:v>0.13502109704641349</c:v>
                </c:pt>
                <c:pt idx="1">
                  <c:v>9.5833333333333368E-2</c:v>
                </c:pt>
                <c:pt idx="2">
                  <c:v>8.8235294117647231E-2</c:v>
                </c:pt>
              </c:numCache>
            </c:numRef>
          </c:val>
        </c:ser>
        <c:ser>
          <c:idx val="3"/>
          <c:order val="3"/>
          <c:tx>
            <c:v>Grant</c:v>
          </c:tx>
          <c:invertIfNegative val="0"/>
          <c:val>
            <c:numRef>
              <c:f>Cancer!$K$26:$K$28</c:f>
              <c:numCache>
                <c:formatCode>0.0%</c:formatCode>
                <c:ptCount val="3"/>
                <c:pt idx="0">
                  <c:v>0.21276595744680887</c:v>
                </c:pt>
                <c:pt idx="1">
                  <c:v>0.12000000000000002</c:v>
                </c:pt>
                <c:pt idx="2">
                  <c:v>4.3478260869565223E-2</c:v>
                </c:pt>
              </c:numCache>
            </c:numRef>
          </c:val>
        </c:ser>
        <c:ser>
          <c:idx val="4"/>
          <c:order val="4"/>
          <c:tx>
            <c:v>Pope</c:v>
          </c:tx>
          <c:invertIfNegative val="0"/>
          <c:val>
            <c:numRef>
              <c:f>Cancer!$K$33:$K$35</c:f>
              <c:numCache>
                <c:formatCode>0.0%</c:formatCode>
                <c:ptCount val="3"/>
                <c:pt idx="0">
                  <c:v>8.2474226804123682E-2</c:v>
                </c:pt>
                <c:pt idx="1">
                  <c:v>0.12941176470588239</c:v>
                </c:pt>
                <c:pt idx="2">
                  <c:v>0.1415094339622647</c:v>
                </c:pt>
              </c:numCache>
            </c:numRef>
          </c:val>
        </c:ser>
        <c:ser>
          <c:idx val="5"/>
          <c:order val="5"/>
          <c:tx>
            <c:v>Stevens</c:v>
          </c:tx>
          <c:invertIfNegative val="0"/>
          <c:val>
            <c:numRef>
              <c:f>Cancer!$K$40:$K$42</c:f>
              <c:numCache>
                <c:formatCode>0.0%</c:formatCode>
                <c:ptCount val="3"/>
                <c:pt idx="0">
                  <c:v>9.0909090909091064E-2</c:v>
                </c:pt>
                <c:pt idx="1">
                  <c:v>0.1</c:v>
                </c:pt>
                <c:pt idx="2">
                  <c:v>8.4745762711864694E-2</c:v>
                </c:pt>
              </c:numCache>
            </c:numRef>
          </c:val>
        </c:ser>
        <c:ser>
          <c:idx val="6"/>
          <c:order val="6"/>
          <c:tx>
            <c:v>Traverse</c:v>
          </c:tx>
          <c:invertIfNegative val="0"/>
          <c:val>
            <c:numRef>
              <c:f>Cancer!$K$47:$K$49</c:f>
              <c:numCache>
                <c:formatCode>0.0%</c:formatCode>
                <c:ptCount val="3"/>
                <c:pt idx="0">
                  <c:v>0.21276595744680887</c:v>
                </c:pt>
                <c:pt idx="1">
                  <c:v>5.2631578947368432E-2</c:v>
                </c:pt>
                <c:pt idx="2">
                  <c:v>0.24324324324324353</c:v>
                </c:pt>
              </c:numCache>
            </c:numRef>
          </c:val>
        </c:ser>
        <c:dLbls>
          <c:showLegendKey val="0"/>
          <c:showVal val="0"/>
          <c:showCatName val="0"/>
          <c:showSerName val="0"/>
          <c:showPercent val="0"/>
          <c:showBubbleSize val="0"/>
        </c:dLbls>
        <c:gapWidth val="150"/>
        <c:axId val="354698232"/>
        <c:axId val="354698624"/>
      </c:barChart>
      <c:catAx>
        <c:axId val="354698232"/>
        <c:scaling>
          <c:orientation val="minMax"/>
        </c:scaling>
        <c:delete val="0"/>
        <c:axPos val="b"/>
        <c:numFmt formatCode="General" sourceLinked="0"/>
        <c:majorTickMark val="out"/>
        <c:minorTickMark val="none"/>
        <c:tickLblPos val="nextTo"/>
        <c:crossAx val="354698624"/>
        <c:crosses val="autoZero"/>
        <c:auto val="1"/>
        <c:lblAlgn val="ctr"/>
        <c:lblOffset val="100"/>
        <c:noMultiLvlLbl val="0"/>
      </c:catAx>
      <c:valAx>
        <c:axId val="354698624"/>
        <c:scaling>
          <c:orientation val="minMax"/>
          <c:max val="0.25"/>
          <c:min val="0"/>
        </c:scaling>
        <c:delete val="0"/>
        <c:axPos val="l"/>
        <c:majorGridlines/>
        <c:numFmt formatCode="0.0%" sourceLinked="1"/>
        <c:majorTickMark val="out"/>
        <c:minorTickMark val="none"/>
        <c:tickLblPos val="nextTo"/>
        <c:crossAx val="354698232"/>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78429529680294E-2"/>
          <c:y val="3.9680363629867488E-2"/>
          <c:w val="0.94192158093305989"/>
          <c:h val="0.87840649646325764"/>
        </c:manualLayout>
      </c:layout>
      <c:lineChart>
        <c:grouping val="standard"/>
        <c:varyColors val="0"/>
        <c:ser>
          <c:idx val="0"/>
          <c:order val="0"/>
          <c:tx>
            <c:strRef>
              <c:f>'Obesity '!$B$2</c:f>
              <c:strCache>
                <c:ptCount val="1"/>
                <c:pt idx="0">
                  <c:v>Minnesota</c:v>
                </c:pt>
              </c:strCache>
            </c:strRef>
          </c:tx>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'!$B$3:$B$9</c:f>
              <c:numCache>
                <c:formatCode>#,##0.0</c:formatCode>
                <c:ptCount val="7"/>
                <c:pt idx="0">
                  <c:v>60.4</c:v>
                </c:pt>
                <c:pt idx="1">
                  <c:v>59.6</c:v>
                </c:pt>
                <c:pt idx="2">
                  <c:v>59.9</c:v>
                </c:pt>
                <c:pt idx="3">
                  <c:v>37.800000000000004</c:v>
                </c:pt>
                <c:pt idx="4" formatCode="General">
                  <c:v>35.800000000000004</c:v>
                </c:pt>
                <c:pt idx="5">
                  <c:v>37.800000000000004</c:v>
                </c:pt>
                <c:pt idx="6" formatCode="General">
                  <c:v>38.1</c:v>
                </c:pt>
              </c:numCache>
            </c:numRef>
          </c:val>
          <c:smooth val="0"/>
        </c:ser>
        <c:ser>
          <c:idx val="1"/>
          <c:order val="1"/>
          <c:tx>
            <c:strRef>
              <c:f>'Obesity '!$C$2</c:f>
              <c:strCache>
                <c:ptCount val="1"/>
                <c:pt idx="0">
                  <c:v>Douglas</c:v>
                </c:pt>
              </c:strCache>
            </c:strRef>
          </c:tx>
          <c:spPr>
            <a:ln>
              <a:solidFill>
                <a:srgbClr val="9BBB59"/>
              </a:solidFill>
            </a:ln>
          </c:spPr>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'!$C$3:$C$9</c:f>
              <c:numCache>
                <c:formatCode>#,##0.0</c:formatCode>
                <c:ptCount val="7"/>
                <c:pt idx="0">
                  <c:v>59.8</c:v>
                </c:pt>
                <c:pt idx="1">
                  <c:v>59.4</c:v>
                </c:pt>
                <c:pt idx="2">
                  <c:v>59.6</c:v>
                </c:pt>
                <c:pt idx="3">
                  <c:v>37.760000000000012</c:v>
                </c:pt>
                <c:pt idx="4" formatCode="General">
                  <c:v>36</c:v>
                </c:pt>
                <c:pt idx="5">
                  <c:v>38</c:v>
                </c:pt>
                <c:pt idx="6" formatCode="General">
                  <c:v>38.6</c:v>
                </c:pt>
              </c:numCache>
            </c:numRef>
          </c:val>
          <c:smooth val="0"/>
        </c:ser>
        <c:ser>
          <c:idx val="2"/>
          <c:order val="2"/>
          <c:tx>
            <c:strRef>
              <c:f>'Obesity '!$D$2</c:f>
              <c:strCache>
                <c:ptCount val="1"/>
                <c:pt idx="0">
                  <c:v>Grant</c:v>
                </c:pt>
              </c:strCache>
            </c:strRef>
          </c:tx>
          <c:spPr>
            <a:ln>
              <a:solidFill>
                <a:srgbClr val="8064A2"/>
              </a:solidFill>
            </a:ln>
          </c:spPr>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'!$D$3:$D$9</c:f>
              <c:numCache>
                <c:formatCode>#,##0.0</c:formatCode>
                <c:ptCount val="7"/>
                <c:pt idx="0">
                  <c:v>60.1</c:v>
                </c:pt>
                <c:pt idx="1">
                  <c:v>60.2</c:v>
                </c:pt>
                <c:pt idx="2">
                  <c:v>60.2</c:v>
                </c:pt>
                <c:pt idx="3">
                  <c:v>38.4</c:v>
                </c:pt>
                <c:pt idx="4" formatCode="General">
                  <c:v>36.800000000000004</c:v>
                </c:pt>
                <c:pt idx="5">
                  <c:v>38.5</c:v>
                </c:pt>
                <c:pt idx="6" formatCode="General">
                  <c:v>38.9</c:v>
                </c:pt>
              </c:numCache>
            </c:numRef>
          </c:val>
          <c:smooth val="0"/>
        </c:ser>
        <c:ser>
          <c:idx val="3"/>
          <c:order val="3"/>
          <c:tx>
            <c:strRef>
              <c:f>'Obesity '!$E$2</c:f>
              <c:strCache>
                <c:ptCount val="1"/>
                <c:pt idx="0">
                  <c:v>Pope</c:v>
                </c:pt>
              </c:strCache>
            </c:strRef>
          </c:tx>
          <c:spPr>
            <a:ln>
              <a:solidFill>
                <a:srgbClr val="4BACC6"/>
              </a:solidFill>
            </a:ln>
          </c:spPr>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'!$E$3:$E$9</c:f>
              <c:numCache>
                <c:formatCode>#,##0.0</c:formatCode>
                <c:ptCount val="7"/>
                <c:pt idx="0">
                  <c:v>60</c:v>
                </c:pt>
                <c:pt idx="1">
                  <c:v>59.9</c:v>
                </c:pt>
                <c:pt idx="2">
                  <c:v>60.2</c:v>
                </c:pt>
                <c:pt idx="3">
                  <c:v>38.130000000000003</c:v>
                </c:pt>
                <c:pt idx="4" formatCode="General">
                  <c:v>36.6</c:v>
                </c:pt>
                <c:pt idx="5">
                  <c:v>38.300000000000004</c:v>
                </c:pt>
                <c:pt idx="6" formatCode="General">
                  <c:v>38.700000000000003</c:v>
                </c:pt>
              </c:numCache>
            </c:numRef>
          </c:val>
          <c:smooth val="0"/>
        </c:ser>
        <c:ser>
          <c:idx val="4"/>
          <c:order val="4"/>
          <c:tx>
            <c:strRef>
              <c:f>'Obesity '!$F$2</c:f>
              <c:strCache>
                <c:ptCount val="1"/>
                <c:pt idx="0">
                  <c:v>Stevens</c:v>
                </c:pt>
              </c:strCache>
            </c:strRef>
          </c:tx>
          <c:spPr>
            <a:ln>
              <a:solidFill>
                <a:srgbClr val="F79646"/>
              </a:solidFill>
            </a:ln>
          </c:spPr>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'!$F$3:$F$9</c:f>
              <c:numCache>
                <c:formatCode>#,##0.0</c:formatCode>
                <c:ptCount val="7"/>
                <c:pt idx="0">
                  <c:v>56.1</c:v>
                </c:pt>
                <c:pt idx="1">
                  <c:v>56.4</c:v>
                </c:pt>
                <c:pt idx="2">
                  <c:v>56.1</c:v>
                </c:pt>
                <c:pt idx="3">
                  <c:v>35.410000000000004</c:v>
                </c:pt>
                <c:pt idx="4" formatCode="General">
                  <c:v>34</c:v>
                </c:pt>
                <c:pt idx="5">
                  <c:v>36</c:v>
                </c:pt>
                <c:pt idx="6" formatCode="General">
                  <c:v>35.9</c:v>
                </c:pt>
              </c:numCache>
            </c:numRef>
          </c:val>
          <c:smooth val="0"/>
        </c:ser>
        <c:ser>
          <c:idx val="5"/>
          <c:order val="5"/>
          <c:tx>
            <c:strRef>
              <c:f>'Obesity '!$G$2</c:f>
              <c:strCache>
                <c:ptCount val="1"/>
                <c:pt idx="0">
                  <c:v>Traverse</c:v>
                </c:pt>
              </c:strCache>
            </c:strRef>
          </c:tx>
          <c:spPr>
            <a:ln>
              <a:solidFill>
                <a:srgbClr val="4F81BD"/>
              </a:solidFill>
            </a:ln>
          </c:spPr>
          <c:marker>
            <c:symbol val="none"/>
          </c:marker>
          <c:cat>
            <c:numRef>
              <c:f>'Obesity '!$A$3:$A$9</c:f>
              <c:numCache>
                <c:formatCode>General</c:formatCode>
                <c:ptCount val="7"/>
                <c:pt idx="0">
                  <c:v>2003</c:v>
                </c:pt>
                <c:pt idx="1">
                  <c:v>2004</c:v>
                </c:pt>
                <c:pt idx="2">
                  <c:v>2005</c:v>
                </c:pt>
                <c:pt idx="3">
                  <c:v>2006</c:v>
                </c:pt>
                <c:pt idx="4">
                  <c:v>2007</c:v>
                </c:pt>
                <c:pt idx="5">
                  <c:v>2008</c:v>
                </c:pt>
                <c:pt idx="6">
                  <c:v>2009</c:v>
                </c:pt>
              </c:numCache>
            </c:numRef>
          </c:cat>
          <c:val>
            <c:numRef>
              <c:f>'Obesity '!$G$3:$G$9</c:f>
              <c:numCache>
                <c:formatCode>#,##0.0</c:formatCode>
                <c:ptCount val="7"/>
                <c:pt idx="0">
                  <c:v>59.8</c:v>
                </c:pt>
                <c:pt idx="1">
                  <c:v>60.1</c:v>
                </c:pt>
                <c:pt idx="2">
                  <c:v>59.9</c:v>
                </c:pt>
                <c:pt idx="3">
                  <c:v>38.660000000000011</c:v>
                </c:pt>
                <c:pt idx="4" formatCode="General">
                  <c:v>37.1</c:v>
                </c:pt>
                <c:pt idx="5">
                  <c:v>38.6</c:v>
                </c:pt>
                <c:pt idx="6" formatCode="General">
                  <c:v>38.800000000000004</c:v>
                </c:pt>
              </c:numCache>
            </c:numRef>
          </c:val>
          <c:smooth val="0"/>
        </c:ser>
        <c:dLbls>
          <c:showLegendKey val="0"/>
          <c:showVal val="0"/>
          <c:showCatName val="0"/>
          <c:showSerName val="0"/>
          <c:showPercent val="0"/>
          <c:showBubbleSize val="0"/>
        </c:dLbls>
        <c:smooth val="0"/>
        <c:axId val="354699408"/>
        <c:axId val="354699800"/>
      </c:lineChart>
      <c:catAx>
        <c:axId val="354699408"/>
        <c:scaling>
          <c:orientation val="minMax"/>
        </c:scaling>
        <c:delete val="0"/>
        <c:axPos val="b"/>
        <c:numFmt formatCode="General" sourceLinked="1"/>
        <c:majorTickMark val="out"/>
        <c:minorTickMark val="none"/>
        <c:tickLblPos val="nextTo"/>
        <c:crossAx val="354699800"/>
        <c:crosses val="autoZero"/>
        <c:auto val="1"/>
        <c:lblAlgn val="ctr"/>
        <c:lblOffset val="100"/>
        <c:noMultiLvlLbl val="0"/>
      </c:catAx>
      <c:valAx>
        <c:axId val="354699800"/>
        <c:scaling>
          <c:orientation val="minMax"/>
          <c:min val="30"/>
        </c:scaling>
        <c:delete val="0"/>
        <c:axPos val="l"/>
        <c:majorGridlines/>
        <c:numFmt formatCode="#,##0.0" sourceLinked="1"/>
        <c:majorTickMark val="out"/>
        <c:minorTickMark val="none"/>
        <c:tickLblPos val="nextTo"/>
        <c:crossAx val="354699408"/>
        <c:crosses val="autoZero"/>
        <c:crossBetween val="between"/>
      </c:valAx>
    </c:plotArea>
    <c:plotVisOnly val="1"/>
    <c:dispBlanksAs val="gap"/>
    <c:showDLblsOverMax val="0"/>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63418386642275"/>
          <c:y val="7.0648958072472845E-2"/>
          <c:w val="0.87436580427446564"/>
          <c:h val="0.81647936422807843"/>
        </c:manualLayout>
      </c:layout>
      <c:lineChart>
        <c:grouping val="standard"/>
        <c:varyColors val="0"/>
        <c:ser>
          <c:idx val="0"/>
          <c:order val="0"/>
          <c:tx>
            <c:strRef>
              <c:f>'Obesity '!$J$2</c:f>
              <c:strCache>
                <c:ptCount val="1"/>
                <c:pt idx="0">
                  <c:v>Minnesota</c:v>
                </c:pt>
              </c:strCache>
            </c:strRef>
          </c:tx>
          <c:spPr>
            <a:ln>
              <a:solidFill>
                <a:srgbClr val="1F497D"/>
              </a:solidFill>
            </a:ln>
          </c:spPr>
          <c:marker>
            <c:symbol val="none"/>
          </c:marker>
          <c:cat>
            <c:numRef>
              <c:f>'Obesity '!$I$3:$I$6</c:f>
              <c:numCache>
                <c:formatCode>General</c:formatCode>
                <c:ptCount val="4"/>
                <c:pt idx="0">
                  <c:v>2006</c:v>
                </c:pt>
                <c:pt idx="1">
                  <c:v>2007</c:v>
                </c:pt>
                <c:pt idx="2">
                  <c:v>2008</c:v>
                </c:pt>
                <c:pt idx="3">
                  <c:v>2009</c:v>
                </c:pt>
              </c:numCache>
            </c:numRef>
          </c:cat>
          <c:val>
            <c:numRef>
              <c:f>'Obesity '!$J$3:$J$6</c:f>
              <c:numCache>
                <c:formatCode>General</c:formatCode>
                <c:ptCount val="4"/>
                <c:pt idx="0" formatCode="#,##0.0">
                  <c:v>24.5</c:v>
                </c:pt>
                <c:pt idx="1">
                  <c:v>25.9</c:v>
                </c:pt>
                <c:pt idx="2" formatCode="#,##0.0">
                  <c:v>24.9</c:v>
                </c:pt>
                <c:pt idx="3">
                  <c:v>24.7</c:v>
                </c:pt>
              </c:numCache>
            </c:numRef>
          </c:val>
          <c:smooth val="0"/>
        </c:ser>
        <c:ser>
          <c:idx val="1"/>
          <c:order val="1"/>
          <c:tx>
            <c:strRef>
              <c:f>'Obesity '!$K$2</c:f>
              <c:strCache>
                <c:ptCount val="1"/>
                <c:pt idx="0">
                  <c:v>Douglas</c:v>
                </c:pt>
              </c:strCache>
            </c:strRef>
          </c:tx>
          <c:spPr>
            <a:ln>
              <a:solidFill>
                <a:srgbClr val="9BBB59"/>
              </a:solidFill>
            </a:ln>
          </c:spPr>
          <c:marker>
            <c:symbol val="none"/>
          </c:marker>
          <c:cat>
            <c:numRef>
              <c:f>'Obesity '!$I$3:$I$6</c:f>
              <c:numCache>
                <c:formatCode>General</c:formatCode>
                <c:ptCount val="4"/>
                <c:pt idx="0">
                  <c:v>2006</c:v>
                </c:pt>
                <c:pt idx="1">
                  <c:v>2007</c:v>
                </c:pt>
                <c:pt idx="2">
                  <c:v>2008</c:v>
                </c:pt>
                <c:pt idx="3">
                  <c:v>2009</c:v>
                </c:pt>
              </c:numCache>
            </c:numRef>
          </c:cat>
          <c:val>
            <c:numRef>
              <c:f>'Obesity '!$K$3:$K$6</c:f>
              <c:numCache>
                <c:formatCode>General</c:formatCode>
                <c:ptCount val="4"/>
                <c:pt idx="0" formatCode="#,##0.0">
                  <c:v>24.22</c:v>
                </c:pt>
                <c:pt idx="1">
                  <c:v>25.5</c:v>
                </c:pt>
                <c:pt idx="2" formatCode="#,##0.0">
                  <c:v>24.7</c:v>
                </c:pt>
                <c:pt idx="3">
                  <c:v>25</c:v>
                </c:pt>
              </c:numCache>
            </c:numRef>
          </c:val>
          <c:smooth val="0"/>
        </c:ser>
        <c:ser>
          <c:idx val="2"/>
          <c:order val="2"/>
          <c:tx>
            <c:strRef>
              <c:f>'Obesity '!$L$2</c:f>
              <c:strCache>
                <c:ptCount val="1"/>
                <c:pt idx="0">
                  <c:v>Grant</c:v>
                </c:pt>
              </c:strCache>
            </c:strRef>
          </c:tx>
          <c:spPr>
            <a:ln>
              <a:solidFill>
                <a:srgbClr val="8064A2"/>
              </a:solidFill>
            </a:ln>
          </c:spPr>
          <c:marker>
            <c:symbol val="none"/>
          </c:marker>
          <c:cat>
            <c:numRef>
              <c:f>'Obesity '!$I$3:$I$6</c:f>
              <c:numCache>
                <c:formatCode>General</c:formatCode>
                <c:ptCount val="4"/>
                <c:pt idx="0">
                  <c:v>2006</c:v>
                </c:pt>
                <c:pt idx="1">
                  <c:v>2007</c:v>
                </c:pt>
                <c:pt idx="2">
                  <c:v>2008</c:v>
                </c:pt>
                <c:pt idx="3">
                  <c:v>2009</c:v>
                </c:pt>
              </c:numCache>
            </c:numRef>
          </c:cat>
          <c:val>
            <c:numRef>
              <c:f>'Obesity '!$L$3:$L$6</c:f>
              <c:numCache>
                <c:formatCode>General</c:formatCode>
                <c:ptCount val="4"/>
                <c:pt idx="0" formatCode="#,##0.0">
                  <c:v>24</c:v>
                </c:pt>
                <c:pt idx="1">
                  <c:v>25.5</c:v>
                </c:pt>
                <c:pt idx="2" formatCode="#,##0.0">
                  <c:v>24.9</c:v>
                </c:pt>
                <c:pt idx="3">
                  <c:v>24.9</c:v>
                </c:pt>
              </c:numCache>
            </c:numRef>
          </c:val>
          <c:smooth val="0"/>
        </c:ser>
        <c:ser>
          <c:idx val="3"/>
          <c:order val="3"/>
          <c:tx>
            <c:strRef>
              <c:f>'Obesity '!$M$2</c:f>
              <c:strCache>
                <c:ptCount val="1"/>
                <c:pt idx="0">
                  <c:v>Pope</c:v>
                </c:pt>
              </c:strCache>
            </c:strRef>
          </c:tx>
          <c:spPr>
            <a:ln>
              <a:solidFill>
                <a:srgbClr val="4BACC6"/>
              </a:solidFill>
            </a:ln>
          </c:spPr>
          <c:marker>
            <c:symbol val="none"/>
          </c:marker>
          <c:cat>
            <c:numRef>
              <c:f>'Obesity '!$I$3:$I$6</c:f>
              <c:numCache>
                <c:formatCode>General</c:formatCode>
                <c:ptCount val="4"/>
                <c:pt idx="0">
                  <c:v>2006</c:v>
                </c:pt>
                <c:pt idx="1">
                  <c:v>2007</c:v>
                </c:pt>
                <c:pt idx="2">
                  <c:v>2008</c:v>
                </c:pt>
                <c:pt idx="3">
                  <c:v>2009</c:v>
                </c:pt>
              </c:numCache>
            </c:numRef>
          </c:cat>
          <c:val>
            <c:numRef>
              <c:f>'Obesity '!$M$3:$M$6</c:f>
              <c:numCache>
                <c:formatCode>General</c:formatCode>
                <c:ptCount val="4"/>
                <c:pt idx="0" formatCode="#,##0.0">
                  <c:v>24.16</c:v>
                </c:pt>
                <c:pt idx="1">
                  <c:v>25.7</c:v>
                </c:pt>
                <c:pt idx="2" formatCode="#,##0.0">
                  <c:v>25</c:v>
                </c:pt>
                <c:pt idx="3">
                  <c:v>24.9</c:v>
                </c:pt>
              </c:numCache>
            </c:numRef>
          </c:val>
          <c:smooth val="0"/>
        </c:ser>
        <c:ser>
          <c:idx val="4"/>
          <c:order val="4"/>
          <c:tx>
            <c:strRef>
              <c:f>'Obesity '!$N$2</c:f>
              <c:strCache>
                <c:ptCount val="1"/>
                <c:pt idx="0">
                  <c:v>Stevens</c:v>
                </c:pt>
              </c:strCache>
            </c:strRef>
          </c:tx>
          <c:spPr>
            <a:ln>
              <a:solidFill>
                <a:srgbClr val="F79646"/>
              </a:solidFill>
            </a:ln>
          </c:spPr>
          <c:marker>
            <c:symbol val="none"/>
          </c:marker>
          <c:val>
            <c:numRef>
              <c:f>'Obesity '!$N$3:$N$6</c:f>
              <c:numCache>
                <c:formatCode>General</c:formatCode>
                <c:ptCount val="4"/>
                <c:pt idx="0" formatCode="#,##0.0">
                  <c:v>23.09</c:v>
                </c:pt>
                <c:pt idx="1">
                  <c:v>24.1</c:v>
                </c:pt>
                <c:pt idx="2" formatCode="#,##0.0">
                  <c:v>22.5</c:v>
                </c:pt>
                <c:pt idx="3">
                  <c:v>23.6</c:v>
                </c:pt>
              </c:numCache>
            </c:numRef>
          </c:val>
          <c:smooth val="0"/>
        </c:ser>
        <c:ser>
          <c:idx val="5"/>
          <c:order val="5"/>
          <c:tx>
            <c:strRef>
              <c:f>'Obesity '!$O$2</c:f>
              <c:strCache>
                <c:ptCount val="1"/>
                <c:pt idx="0">
                  <c:v>Traverse</c:v>
                </c:pt>
              </c:strCache>
            </c:strRef>
          </c:tx>
          <c:spPr>
            <a:ln>
              <a:solidFill>
                <a:srgbClr val="4F81BD">
                  <a:lumMod val="60000"/>
                  <a:lumOff val="40000"/>
                </a:srgbClr>
              </a:solidFill>
            </a:ln>
          </c:spPr>
          <c:marker>
            <c:symbol val="none"/>
          </c:marker>
          <c:val>
            <c:numRef>
              <c:f>'Obesity '!$O$3:$O$6</c:f>
              <c:numCache>
                <c:formatCode>General</c:formatCode>
                <c:ptCount val="4"/>
                <c:pt idx="0" formatCode="#,##0.0">
                  <c:v>23.66</c:v>
                </c:pt>
                <c:pt idx="1">
                  <c:v>25.1</c:v>
                </c:pt>
                <c:pt idx="2" formatCode="#,##0.0">
                  <c:v>24.6</c:v>
                </c:pt>
                <c:pt idx="3">
                  <c:v>24.4</c:v>
                </c:pt>
              </c:numCache>
            </c:numRef>
          </c:val>
          <c:smooth val="0"/>
        </c:ser>
        <c:dLbls>
          <c:showLegendKey val="0"/>
          <c:showVal val="0"/>
          <c:showCatName val="0"/>
          <c:showSerName val="0"/>
          <c:showPercent val="0"/>
          <c:showBubbleSize val="0"/>
        </c:dLbls>
        <c:smooth val="0"/>
        <c:axId val="354700584"/>
        <c:axId val="354700976"/>
      </c:lineChart>
      <c:catAx>
        <c:axId val="354700584"/>
        <c:scaling>
          <c:orientation val="minMax"/>
        </c:scaling>
        <c:delete val="0"/>
        <c:axPos val="b"/>
        <c:numFmt formatCode="General" sourceLinked="1"/>
        <c:majorTickMark val="out"/>
        <c:minorTickMark val="none"/>
        <c:tickLblPos val="nextTo"/>
        <c:crossAx val="354700976"/>
        <c:crosses val="autoZero"/>
        <c:auto val="1"/>
        <c:lblAlgn val="ctr"/>
        <c:lblOffset val="100"/>
        <c:noMultiLvlLbl val="0"/>
      </c:catAx>
      <c:valAx>
        <c:axId val="354700976"/>
        <c:scaling>
          <c:orientation val="minMax"/>
          <c:max val="26"/>
          <c:min val="22"/>
        </c:scaling>
        <c:delete val="0"/>
        <c:axPos val="l"/>
        <c:majorGridlines/>
        <c:numFmt formatCode="#,##0.0" sourceLinked="1"/>
        <c:majorTickMark val="out"/>
        <c:minorTickMark val="none"/>
        <c:tickLblPos val="nextTo"/>
        <c:crossAx val="354700584"/>
        <c:crosses val="autoZero"/>
        <c:crossBetween val="between"/>
      </c:valAx>
    </c:plotArea>
    <c:plotVisOnly val="1"/>
    <c:dispBlanksAs val="gap"/>
    <c:showDLblsOverMax val="0"/>
  </c:chart>
  <c:spPr>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62385179773183E-2"/>
          <c:y val="4.9343520117026529E-2"/>
          <c:w val="0.9446376148202269"/>
          <c:h val="0.80770558760368982"/>
        </c:manualLayout>
      </c:layout>
      <c:lineChart>
        <c:grouping val="standard"/>
        <c:varyColors val="0"/>
        <c:ser>
          <c:idx val="0"/>
          <c:order val="0"/>
          <c:tx>
            <c:strRef>
              <c:f>'Obesity '!$R$2</c:f>
              <c:strCache>
                <c:ptCount val="1"/>
                <c:pt idx="0">
                  <c:v>Minnesota</c:v>
                </c:pt>
              </c:strCache>
            </c:strRef>
          </c:tx>
          <c:spPr>
            <a:ln>
              <a:solidFill>
                <a:srgbClr val="1F497D"/>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'!$R$3:$R$8</c:f>
              <c:numCache>
                <c:formatCode>#,##0.0</c:formatCode>
                <c:ptCount val="6"/>
                <c:pt idx="0">
                  <c:v>15.9</c:v>
                </c:pt>
                <c:pt idx="1">
                  <c:v>16.2</c:v>
                </c:pt>
                <c:pt idx="2" formatCode="General">
                  <c:v>14.2</c:v>
                </c:pt>
                <c:pt idx="3" formatCode="General">
                  <c:v>16.7</c:v>
                </c:pt>
                <c:pt idx="4">
                  <c:v>18.100000000000001</c:v>
                </c:pt>
                <c:pt idx="5" formatCode="General">
                  <c:v>15.8</c:v>
                </c:pt>
              </c:numCache>
            </c:numRef>
          </c:val>
          <c:smooth val="0"/>
        </c:ser>
        <c:ser>
          <c:idx val="1"/>
          <c:order val="1"/>
          <c:tx>
            <c:strRef>
              <c:f>'Obesity '!$S$2</c:f>
              <c:strCache>
                <c:ptCount val="1"/>
                <c:pt idx="0">
                  <c:v>Douglas</c:v>
                </c:pt>
              </c:strCache>
            </c:strRef>
          </c:tx>
          <c:spPr>
            <a:ln>
              <a:solidFill>
                <a:srgbClr val="9BBB59"/>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'!$S$3:$S$8</c:f>
              <c:numCache>
                <c:formatCode>#,##0.0</c:formatCode>
                <c:ptCount val="6"/>
                <c:pt idx="0">
                  <c:v>16.600000000000001</c:v>
                </c:pt>
                <c:pt idx="1">
                  <c:v>17</c:v>
                </c:pt>
                <c:pt idx="2" formatCode="General">
                  <c:v>14.76</c:v>
                </c:pt>
                <c:pt idx="3" formatCode="General">
                  <c:v>17.8</c:v>
                </c:pt>
                <c:pt idx="4">
                  <c:v>18.8</c:v>
                </c:pt>
                <c:pt idx="5" formatCode="General">
                  <c:v>16.899999999999999</c:v>
                </c:pt>
              </c:numCache>
            </c:numRef>
          </c:val>
          <c:smooth val="0"/>
        </c:ser>
        <c:ser>
          <c:idx val="2"/>
          <c:order val="2"/>
          <c:tx>
            <c:strRef>
              <c:f>'Obesity '!$T$2</c:f>
              <c:strCache>
                <c:ptCount val="1"/>
                <c:pt idx="0">
                  <c:v>Grant</c:v>
                </c:pt>
              </c:strCache>
            </c:strRef>
          </c:tx>
          <c:spPr>
            <a:ln>
              <a:solidFill>
                <a:srgbClr val="8064A2"/>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'!$T$3:$T$8</c:f>
              <c:numCache>
                <c:formatCode>#,##0.0</c:formatCode>
                <c:ptCount val="6"/>
                <c:pt idx="0">
                  <c:v>17.3</c:v>
                </c:pt>
                <c:pt idx="1">
                  <c:v>17.7</c:v>
                </c:pt>
                <c:pt idx="2" formatCode="General">
                  <c:v>15.6</c:v>
                </c:pt>
                <c:pt idx="3" formatCode="General">
                  <c:v>18.7</c:v>
                </c:pt>
                <c:pt idx="4">
                  <c:v>19.5</c:v>
                </c:pt>
                <c:pt idx="5" formatCode="General">
                  <c:v>17.600000000000001</c:v>
                </c:pt>
              </c:numCache>
            </c:numRef>
          </c:val>
          <c:smooth val="0"/>
        </c:ser>
        <c:ser>
          <c:idx val="3"/>
          <c:order val="3"/>
          <c:tx>
            <c:strRef>
              <c:f>'Obesity '!$U$2</c:f>
              <c:strCache>
                <c:ptCount val="1"/>
                <c:pt idx="0">
                  <c:v>Pope</c:v>
                </c:pt>
              </c:strCache>
            </c:strRef>
          </c:tx>
          <c:spPr>
            <a:ln>
              <a:solidFill>
                <a:srgbClr val="4BACC6"/>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'!$U$3:$U$8</c:f>
              <c:numCache>
                <c:formatCode>#,##0.0</c:formatCode>
                <c:ptCount val="6"/>
                <c:pt idx="0">
                  <c:v>17.100000000000001</c:v>
                </c:pt>
                <c:pt idx="1">
                  <c:v>17.399999999999999</c:v>
                </c:pt>
                <c:pt idx="2" formatCode="General">
                  <c:v>15.360000000000015</c:v>
                </c:pt>
                <c:pt idx="3" formatCode="General">
                  <c:v>18.3</c:v>
                </c:pt>
                <c:pt idx="4">
                  <c:v>19.2</c:v>
                </c:pt>
                <c:pt idx="5" formatCode="General">
                  <c:v>17.3</c:v>
                </c:pt>
              </c:numCache>
            </c:numRef>
          </c:val>
          <c:smooth val="0"/>
        </c:ser>
        <c:ser>
          <c:idx val="4"/>
          <c:order val="4"/>
          <c:tx>
            <c:strRef>
              <c:f>'Obesity '!$V$2</c:f>
              <c:strCache>
                <c:ptCount val="1"/>
                <c:pt idx="0">
                  <c:v>Stevens</c:v>
                </c:pt>
              </c:strCache>
            </c:strRef>
          </c:tx>
          <c:spPr>
            <a:ln>
              <a:solidFill>
                <a:srgbClr val="F79646"/>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'!$V$3:$V$8</c:f>
              <c:numCache>
                <c:formatCode>#,##0.0</c:formatCode>
                <c:ptCount val="6"/>
                <c:pt idx="0">
                  <c:v>16.3</c:v>
                </c:pt>
                <c:pt idx="1">
                  <c:v>16.2</c:v>
                </c:pt>
                <c:pt idx="2" formatCode="General">
                  <c:v>15.11</c:v>
                </c:pt>
                <c:pt idx="3" formatCode="General">
                  <c:v>18.5</c:v>
                </c:pt>
                <c:pt idx="4">
                  <c:v>18.7</c:v>
                </c:pt>
                <c:pt idx="5" formatCode="General">
                  <c:v>16.899999999999999</c:v>
                </c:pt>
              </c:numCache>
            </c:numRef>
          </c:val>
          <c:smooth val="0"/>
        </c:ser>
        <c:ser>
          <c:idx val="5"/>
          <c:order val="5"/>
          <c:tx>
            <c:strRef>
              <c:f>'Obesity '!$W$2</c:f>
              <c:strCache>
                <c:ptCount val="1"/>
                <c:pt idx="0">
                  <c:v>Traverse</c:v>
                </c:pt>
              </c:strCache>
            </c:strRef>
          </c:tx>
          <c:spPr>
            <a:ln>
              <a:solidFill>
                <a:srgbClr val="4F81BD">
                  <a:lumMod val="60000"/>
                  <a:lumOff val="40000"/>
                </a:srgbClr>
              </a:solidFill>
            </a:ln>
          </c:spPr>
          <c:marker>
            <c:symbol val="none"/>
          </c:marker>
          <c:cat>
            <c:numRef>
              <c:f>'Obesity '!$Q$3:$Q$8</c:f>
              <c:numCache>
                <c:formatCode>General</c:formatCode>
                <c:ptCount val="6"/>
                <c:pt idx="0">
                  <c:v>2004</c:v>
                </c:pt>
                <c:pt idx="1">
                  <c:v>2005</c:v>
                </c:pt>
                <c:pt idx="2">
                  <c:v>2006</c:v>
                </c:pt>
                <c:pt idx="3">
                  <c:v>2007</c:v>
                </c:pt>
                <c:pt idx="4">
                  <c:v>2008</c:v>
                </c:pt>
                <c:pt idx="5">
                  <c:v>2009</c:v>
                </c:pt>
              </c:numCache>
            </c:numRef>
          </c:cat>
          <c:val>
            <c:numRef>
              <c:f>'Obesity '!$W$3:$W$8</c:f>
              <c:numCache>
                <c:formatCode>#,##0.0</c:formatCode>
                <c:ptCount val="6"/>
                <c:pt idx="0">
                  <c:v>17.8</c:v>
                </c:pt>
                <c:pt idx="1">
                  <c:v>18.3</c:v>
                </c:pt>
                <c:pt idx="2" formatCode="General">
                  <c:v>16.279999999999987</c:v>
                </c:pt>
                <c:pt idx="3" formatCode="General">
                  <c:v>19.5</c:v>
                </c:pt>
                <c:pt idx="4">
                  <c:v>19.8</c:v>
                </c:pt>
                <c:pt idx="5" formatCode="General">
                  <c:v>18.5</c:v>
                </c:pt>
              </c:numCache>
            </c:numRef>
          </c:val>
          <c:smooth val="0"/>
        </c:ser>
        <c:dLbls>
          <c:showLegendKey val="0"/>
          <c:showVal val="0"/>
          <c:showCatName val="0"/>
          <c:showSerName val="0"/>
          <c:showPercent val="0"/>
          <c:showBubbleSize val="0"/>
        </c:dLbls>
        <c:smooth val="0"/>
        <c:axId val="355434080"/>
        <c:axId val="355434472"/>
      </c:lineChart>
      <c:catAx>
        <c:axId val="355434080"/>
        <c:scaling>
          <c:orientation val="minMax"/>
        </c:scaling>
        <c:delete val="0"/>
        <c:axPos val="b"/>
        <c:numFmt formatCode="General" sourceLinked="1"/>
        <c:majorTickMark val="out"/>
        <c:minorTickMark val="none"/>
        <c:tickLblPos val="nextTo"/>
        <c:crossAx val="355434472"/>
        <c:crosses val="autoZero"/>
        <c:auto val="1"/>
        <c:lblAlgn val="ctr"/>
        <c:lblOffset val="100"/>
        <c:noMultiLvlLbl val="0"/>
      </c:catAx>
      <c:valAx>
        <c:axId val="355434472"/>
        <c:scaling>
          <c:orientation val="minMax"/>
          <c:max val="20"/>
          <c:min val="14"/>
        </c:scaling>
        <c:delete val="0"/>
        <c:axPos val="l"/>
        <c:majorGridlines/>
        <c:numFmt formatCode="#,##0.0" sourceLinked="1"/>
        <c:majorTickMark val="out"/>
        <c:minorTickMark val="none"/>
        <c:tickLblPos val="nextTo"/>
        <c:crossAx val="355434080"/>
        <c:crosses val="autoZero"/>
        <c:crossBetween val="between"/>
      </c:valAx>
    </c:plotArea>
    <c:plotVisOnly val="1"/>
    <c:dispBlanksAs val="gap"/>
    <c:showDLblsOverMax val="0"/>
  </c:chart>
  <c:spPr>
    <a:ln>
      <a:noFill/>
    </a:ln>
  </c:sp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331661280589156E-2"/>
          <c:y val="4.2179657847445297E-2"/>
          <c:w val="0.93794591752692913"/>
          <c:h val="0.81918995348533385"/>
        </c:manualLayout>
      </c:layout>
      <c:barChart>
        <c:barDir val="col"/>
        <c:grouping val="clustered"/>
        <c:varyColors val="0"/>
        <c:ser>
          <c:idx val="0"/>
          <c:order val="0"/>
          <c:tx>
            <c:v>2007</c:v>
          </c:tx>
          <c:invertIfNegative val="0"/>
          <c:cat>
            <c:strRef>
              <c:f>Overweight_Obese!$AR$1:$AR$7</c:f>
              <c:strCache>
                <c:ptCount val="7"/>
                <c:pt idx="0">
                  <c:v>Minnesota</c:v>
                </c:pt>
                <c:pt idx="1">
                  <c:v>Horizon</c:v>
                </c:pt>
                <c:pt idx="2">
                  <c:v>Douglas</c:v>
                </c:pt>
                <c:pt idx="3">
                  <c:v>Grant</c:v>
                </c:pt>
                <c:pt idx="4">
                  <c:v>Pope</c:v>
                </c:pt>
                <c:pt idx="5">
                  <c:v>Stevens</c:v>
                </c:pt>
                <c:pt idx="6">
                  <c:v>Traverse</c:v>
                </c:pt>
              </c:strCache>
            </c:strRef>
          </c:cat>
          <c:val>
            <c:numRef>
              <c:f>(Overweight_Obese!$E$4,Overweight_Obese!$K$4,Overweight_Obese!$Q$4,Overweight_Obese!$W$4,Overweight_Obese!$AC$4,Overweight_Obese!$AI$4,Overweight_Obese!$AO$4)</c:f>
              <c:numCache>
                <c:formatCode>0</c:formatCode>
                <c:ptCount val="7"/>
                <c:pt idx="0">
                  <c:v>13.373019385677578</c:v>
                </c:pt>
                <c:pt idx="1">
                  <c:v>14</c:v>
                </c:pt>
                <c:pt idx="2">
                  <c:v>14.436619718309863</c:v>
                </c:pt>
                <c:pt idx="3">
                  <c:v>10.606060606060607</c:v>
                </c:pt>
                <c:pt idx="4">
                  <c:v>20</c:v>
                </c:pt>
                <c:pt idx="5">
                  <c:v>10.810810810810812</c:v>
                </c:pt>
                <c:pt idx="6">
                  <c:v>7.1428571428571415</c:v>
                </c:pt>
              </c:numCache>
            </c:numRef>
          </c:val>
        </c:ser>
        <c:ser>
          <c:idx val="1"/>
          <c:order val="1"/>
          <c:tx>
            <c:v>2010</c:v>
          </c:tx>
          <c:invertIfNegative val="0"/>
          <c:cat>
            <c:strRef>
              <c:f>Overweight_Obese!$AR$1:$AR$7</c:f>
              <c:strCache>
                <c:ptCount val="7"/>
                <c:pt idx="0">
                  <c:v>Minnesota</c:v>
                </c:pt>
                <c:pt idx="1">
                  <c:v>Horizon</c:v>
                </c:pt>
                <c:pt idx="2">
                  <c:v>Douglas</c:v>
                </c:pt>
                <c:pt idx="3">
                  <c:v>Grant</c:v>
                </c:pt>
                <c:pt idx="4">
                  <c:v>Pope</c:v>
                </c:pt>
                <c:pt idx="5">
                  <c:v>Stevens</c:v>
                </c:pt>
                <c:pt idx="6">
                  <c:v>Traverse</c:v>
                </c:pt>
              </c:strCache>
            </c:strRef>
          </c:cat>
          <c:val>
            <c:numRef>
              <c:f>(Overweight_Obese!$F$4,Overweight_Obese!$L$4,Overweight_Obese!$R$4,Overweight_Obese!$X$4,Overweight_Obese!$AD$4,Overweight_Obese!$AJ$4,Overweight_Obese!$AP$4)</c:f>
              <c:numCache>
                <c:formatCode>0</c:formatCode>
                <c:ptCount val="7"/>
                <c:pt idx="0">
                  <c:v>13.256010631871465</c:v>
                </c:pt>
                <c:pt idx="1">
                  <c:v>13</c:v>
                </c:pt>
                <c:pt idx="2">
                  <c:v>11.683848797250853</c:v>
                </c:pt>
                <c:pt idx="3">
                  <c:v>11.627906976744187</c:v>
                </c:pt>
                <c:pt idx="4">
                  <c:v>20.27027027027027</c:v>
                </c:pt>
                <c:pt idx="5">
                  <c:v>10.344827586206897</c:v>
                </c:pt>
                <c:pt idx="6">
                  <c:v>14.705882352941179</c:v>
                </c:pt>
              </c:numCache>
            </c:numRef>
          </c:val>
        </c:ser>
        <c:dLbls>
          <c:showLegendKey val="0"/>
          <c:showVal val="0"/>
          <c:showCatName val="0"/>
          <c:showSerName val="0"/>
          <c:showPercent val="0"/>
          <c:showBubbleSize val="0"/>
        </c:dLbls>
        <c:gapWidth val="150"/>
        <c:axId val="355435256"/>
        <c:axId val="355435648"/>
      </c:barChart>
      <c:catAx>
        <c:axId val="355435256"/>
        <c:scaling>
          <c:orientation val="minMax"/>
        </c:scaling>
        <c:delete val="0"/>
        <c:axPos val="b"/>
        <c:numFmt formatCode="General" sourceLinked="1"/>
        <c:majorTickMark val="out"/>
        <c:minorTickMark val="none"/>
        <c:tickLblPos val="nextTo"/>
        <c:crossAx val="355435648"/>
        <c:crosses val="autoZero"/>
        <c:auto val="1"/>
        <c:lblAlgn val="ctr"/>
        <c:lblOffset val="100"/>
        <c:noMultiLvlLbl val="0"/>
      </c:catAx>
      <c:valAx>
        <c:axId val="355435648"/>
        <c:scaling>
          <c:orientation val="minMax"/>
        </c:scaling>
        <c:delete val="0"/>
        <c:axPos val="l"/>
        <c:majorGridlines/>
        <c:numFmt formatCode="0" sourceLinked="1"/>
        <c:majorTickMark val="out"/>
        <c:minorTickMark val="none"/>
        <c:tickLblPos val="nextTo"/>
        <c:crossAx val="3554352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tbl_1_pop_pyr!$C$4</c:f>
              <c:strCache>
                <c:ptCount val="1"/>
                <c:pt idx="0">
                  <c:v>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data'!$B$3:$B$20</c:f>
              <c:numCache>
                <c:formatCode>0.0</c:formatCode>
                <c:ptCount val="18"/>
                <c:pt idx="0">
                  <c:v>-3.0492969676435711</c:v>
                </c:pt>
                <c:pt idx="1">
                  <c:v>-3.2187023547348805</c:v>
                </c:pt>
                <c:pt idx="2">
                  <c:v>-3.03235642893444</c:v>
                </c:pt>
                <c:pt idx="3">
                  <c:v>-2.5241402676605116</c:v>
                </c:pt>
                <c:pt idx="4">
                  <c:v>-2.4902591902422495</c:v>
                </c:pt>
                <c:pt idx="5">
                  <c:v>-2.4563781128239879</c:v>
                </c:pt>
                <c:pt idx="6">
                  <c:v>-2.7104861934609521</c:v>
                </c:pt>
                <c:pt idx="7">
                  <c:v>-2.8798915805522616</c:v>
                </c:pt>
                <c:pt idx="8">
                  <c:v>-2.8121294257157379</c:v>
                </c:pt>
                <c:pt idx="9">
                  <c:v>-2.4394375741148568</c:v>
                </c:pt>
                <c:pt idx="10">
                  <c:v>-3.5236320514992379</c:v>
                </c:pt>
                <c:pt idx="11">
                  <c:v>-4.0149076740640348</c:v>
                </c:pt>
                <c:pt idx="12">
                  <c:v>-3.5913942063357616</c:v>
                </c:pt>
                <c:pt idx="13">
                  <c:v>-3.2187023547348805</c:v>
                </c:pt>
                <c:pt idx="14">
                  <c:v>-2.7443672708792142</c:v>
                </c:pt>
                <c:pt idx="15">
                  <c:v>-2.0498051838048448</c:v>
                </c:pt>
                <c:pt idx="16">
                  <c:v>-1.4230052515669998</c:v>
                </c:pt>
                <c:pt idx="17">
                  <c:v>-1.5415890225309166</c:v>
                </c:pt>
              </c:numCache>
            </c:numRef>
          </c:val>
        </c:ser>
        <c:ser>
          <c:idx val="0"/>
          <c:order val="1"/>
          <c:tx>
            <c:strRef>
              <c:f>tbl_1_pop_pyr!$D$4</c:f>
              <c:strCache>
                <c:ptCount val="1"/>
                <c:pt idx="0">
                  <c:v>Female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data'!$C$3:$C$20</c:f>
              <c:numCache>
                <c:formatCode>0.0</c:formatCode>
                <c:ptCount val="18"/>
                <c:pt idx="0">
                  <c:v>3.1678807386074879</c:v>
                </c:pt>
                <c:pt idx="1">
                  <c:v>3.3372861256987973</c:v>
                </c:pt>
                <c:pt idx="2">
                  <c:v>2.9984753515161784</c:v>
                </c:pt>
                <c:pt idx="3">
                  <c:v>2.4055564966965948</c:v>
                </c:pt>
                <c:pt idx="4">
                  <c:v>2.2869727257326784</c:v>
                </c:pt>
                <c:pt idx="5">
                  <c:v>2.0667457225139758</c:v>
                </c:pt>
                <c:pt idx="6">
                  <c:v>3.1339996611892258</c:v>
                </c:pt>
                <c:pt idx="7">
                  <c:v>2.4902591902422495</c:v>
                </c:pt>
                <c:pt idx="8">
                  <c:v>2.2361511096052853</c:v>
                </c:pt>
                <c:pt idx="9">
                  <c:v>2.7274267321700831</c:v>
                </c:pt>
                <c:pt idx="10">
                  <c:v>3.7099779772996779</c:v>
                </c:pt>
                <c:pt idx="11">
                  <c:v>3.9979671353549042</c:v>
                </c:pt>
                <c:pt idx="12">
                  <c:v>3.371167203117059</c:v>
                </c:pt>
                <c:pt idx="13">
                  <c:v>3.4728104353718448</c:v>
                </c:pt>
                <c:pt idx="14">
                  <c:v>2.6935456547518211</c:v>
                </c:pt>
                <c:pt idx="15">
                  <c:v>2.0328646450957142</c:v>
                </c:pt>
                <c:pt idx="16">
                  <c:v>1.4738268676943926</c:v>
                </c:pt>
                <c:pt idx="17">
                  <c:v>2.67660511604269</c:v>
                </c:pt>
              </c:numCache>
            </c:numRef>
          </c:val>
        </c:ser>
        <c:dLbls>
          <c:showLegendKey val="0"/>
          <c:showVal val="0"/>
          <c:showCatName val="0"/>
          <c:showSerName val="0"/>
          <c:showPercent val="0"/>
          <c:showBubbleSize val="0"/>
        </c:dLbls>
        <c:gapWidth val="0"/>
        <c:overlap val="100"/>
        <c:axId val="319436112"/>
        <c:axId val="319436504"/>
      </c:barChart>
      <c:catAx>
        <c:axId val="319436112"/>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6504"/>
        <c:crosses val="autoZero"/>
        <c:auto val="1"/>
        <c:lblAlgn val="ctr"/>
        <c:lblOffset val="100"/>
        <c:tickLblSkip val="1"/>
        <c:tickMarkSkip val="1"/>
        <c:noMultiLvlLbl val="0"/>
      </c:catAx>
      <c:valAx>
        <c:axId val="319436504"/>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6112"/>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2007</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(Overweight_Obese!$B$7,Overweight_Obese!$E$7,Overweight_Obese!$H$7,Overweight_Obese!$K$7,Overweight_Obese!$N$7,Overweight_Obese!$Q$7,Overweight_Obese!$T$7)</c:f>
              <c:numCache>
                <c:formatCode>0</c:formatCode>
                <c:ptCount val="7"/>
                <c:pt idx="0">
                  <c:v>9.117464813667338</c:v>
                </c:pt>
                <c:pt idx="1">
                  <c:v>7</c:v>
                </c:pt>
                <c:pt idx="2">
                  <c:v>4.9295774647887312</c:v>
                </c:pt>
                <c:pt idx="3">
                  <c:v>15.151515151515149</c:v>
                </c:pt>
                <c:pt idx="4">
                  <c:v>7.7777777777777786</c:v>
                </c:pt>
                <c:pt idx="5">
                  <c:v>6.7567567567567561</c:v>
                </c:pt>
                <c:pt idx="6">
                  <c:v>0</c:v>
                </c:pt>
              </c:numCache>
            </c:numRef>
          </c:val>
        </c:ser>
        <c:ser>
          <c:idx val="1"/>
          <c:order val="1"/>
          <c:tx>
            <c:v>2010</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(Overweight_Obese!$C$7,Overweight_Obese!$F$7,Overweight_Obese!$I$7,Overweight_Obese!$L$7,Overweight_Obese!$O$7,Overweight_Obese!$R$7,Overweight_Obese!$U$7)</c:f>
              <c:numCache>
                <c:formatCode>0</c:formatCode>
                <c:ptCount val="7"/>
                <c:pt idx="0">
                  <c:v>8.8172043010752272</c:v>
                </c:pt>
                <c:pt idx="1">
                  <c:v>8</c:v>
                </c:pt>
                <c:pt idx="2">
                  <c:v>7.9037800687285209</c:v>
                </c:pt>
                <c:pt idx="3">
                  <c:v>9.3023255813953494</c:v>
                </c:pt>
                <c:pt idx="4">
                  <c:v>8.1081081081081052</c:v>
                </c:pt>
                <c:pt idx="5">
                  <c:v>8.6206896551724164</c:v>
                </c:pt>
                <c:pt idx="6">
                  <c:v>5.8823529411764692</c:v>
                </c:pt>
              </c:numCache>
            </c:numRef>
          </c:val>
        </c:ser>
        <c:dLbls>
          <c:showLegendKey val="0"/>
          <c:showVal val="0"/>
          <c:showCatName val="0"/>
          <c:showSerName val="0"/>
          <c:showPercent val="0"/>
          <c:showBubbleSize val="0"/>
        </c:dLbls>
        <c:gapWidth val="150"/>
        <c:axId val="355436432"/>
        <c:axId val="355436824"/>
      </c:barChart>
      <c:catAx>
        <c:axId val="355436432"/>
        <c:scaling>
          <c:orientation val="minMax"/>
        </c:scaling>
        <c:delete val="0"/>
        <c:axPos val="b"/>
        <c:numFmt formatCode="General" sourceLinked="1"/>
        <c:majorTickMark val="out"/>
        <c:minorTickMark val="none"/>
        <c:tickLblPos val="nextTo"/>
        <c:crossAx val="355436824"/>
        <c:crosses val="autoZero"/>
        <c:auto val="1"/>
        <c:lblAlgn val="ctr"/>
        <c:lblOffset val="100"/>
        <c:noMultiLvlLbl val="0"/>
      </c:catAx>
      <c:valAx>
        <c:axId val="355436824"/>
        <c:scaling>
          <c:orientation val="minMax"/>
        </c:scaling>
        <c:delete val="0"/>
        <c:axPos val="l"/>
        <c:majorGridlines/>
        <c:numFmt formatCode="0" sourceLinked="1"/>
        <c:majorTickMark val="out"/>
        <c:minorTickMark val="none"/>
        <c:tickLblPos val="nextTo"/>
        <c:crossAx val="355436432"/>
        <c:crosses val="autoZero"/>
        <c:crossBetween val="between"/>
      </c:valAx>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2007</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(Overweight_Obese!$B$10,Overweight_Obese!$E$10,Overweight_Obese!$H$10,Overweight_Obese!$K$10,Overweight_Obese!$N$10,Overweight_Obese!$Q$10,Overweight_Obese!$T$10)</c:f>
              <c:numCache>
                <c:formatCode>General</c:formatCode>
                <c:ptCount val="7"/>
                <c:pt idx="0" formatCode="0">
                  <c:v>22.922037063348554</c:v>
                </c:pt>
                <c:pt idx="1">
                  <c:v>24.521739130434778</c:v>
                </c:pt>
                <c:pt idx="2" formatCode="0">
                  <c:v>23.300970873786415</c:v>
                </c:pt>
                <c:pt idx="3" formatCode="0">
                  <c:v>30.434782608695649</c:v>
                </c:pt>
                <c:pt idx="4" formatCode="0">
                  <c:v>28.260869565217394</c:v>
                </c:pt>
                <c:pt idx="5" formatCode="0">
                  <c:v>21.052631578947356</c:v>
                </c:pt>
                <c:pt idx="6" formatCode="0">
                  <c:v>20.689655172413797</c:v>
                </c:pt>
              </c:numCache>
            </c:numRef>
          </c:val>
        </c:ser>
        <c:ser>
          <c:idx val="1"/>
          <c:order val="1"/>
          <c:tx>
            <c:v>2010</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(Overweight_Obese!$C$10,Overweight_Obese!$F$10,Overweight_Obese!$I$10,Overweight_Obese!$L$10,Overweight_Obese!$O$10,Overweight_Obese!$R$10,Overweight_Obese!$U$10)</c:f>
              <c:numCache>
                <c:formatCode>General</c:formatCode>
                <c:ptCount val="7"/>
                <c:pt idx="0" formatCode="0">
                  <c:v>21.096559088234763</c:v>
                </c:pt>
                <c:pt idx="1">
                  <c:v>20.631970260223063</c:v>
                </c:pt>
                <c:pt idx="2" formatCode="0">
                  <c:v>19.551282051282072</c:v>
                </c:pt>
                <c:pt idx="3" formatCode="0">
                  <c:v>24.44444444444445</c:v>
                </c:pt>
                <c:pt idx="4" formatCode="0">
                  <c:v>27.272727272727252</c:v>
                </c:pt>
                <c:pt idx="5" formatCode="0">
                  <c:v>17.460317460317462</c:v>
                </c:pt>
                <c:pt idx="6" formatCode="0">
                  <c:v>17.073170731707314</c:v>
                </c:pt>
              </c:numCache>
            </c:numRef>
          </c:val>
        </c:ser>
        <c:dLbls>
          <c:showLegendKey val="0"/>
          <c:showVal val="0"/>
          <c:showCatName val="0"/>
          <c:showSerName val="0"/>
          <c:showPercent val="0"/>
          <c:showBubbleSize val="0"/>
        </c:dLbls>
        <c:gapWidth val="150"/>
        <c:axId val="355437608"/>
        <c:axId val="355823216"/>
      </c:barChart>
      <c:catAx>
        <c:axId val="355437608"/>
        <c:scaling>
          <c:orientation val="minMax"/>
        </c:scaling>
        <c:delete val="0"/>
        <c:axPos val="b"/>
        <c:numFmt formatCode="General" sourceLinked="1"/>
        <c:majorTickMark val="out"/>
        <c:minorTickMark val="none"/>
        <c:tickLblPos val="nextTo"/>
        <c:crossAx val="355823216"/>
        <c:crosses val="autoZero"/>
        <c:auto val="1"/>
        <c:lblAlgn val="ctr"/>
        <c:lblOffset val="100"/>
        <c:noMultiLvlLbl val="0"/>
      </c:catAx>
      <c:valAx>
        <c:axId val="355823216"/>
        <c:scaling>
          <c:orientation val="minMax"/>
        </c:scaling>
        <c:delete val="0"/>
        <c:axPos val="l"/>
        <c:majorGridlines/>
        <c:numFmt formatCode="0" sourceLinked="1"/>
        <c:majorTickMark val="out"/>
        <c:minorTickMark val="none"/>
        <c:tickLblPos val="nextTo"/>
        <c:crossAx val="355437608"/>
        <c:crosses val="autoZero"/>
        <c:crossBetween val="between"/>
      </c:valAx>
    </c:plotArea>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054564753668733E-2"/>
          <c:y val="3.4293451447256935E-2"/>
          <c:w val="0.93154862456581966"/>
          <c:h val="0.853025157469253"/>
        </c:manualLayout>
      </c:layout>
      <c:barChart>
        <c:barDir val="col"/>
        <c:grouping val="clustered"/>
        <c:varyColors val="0"/>
        <c:ser>
          <c:idx val="0"/>
          <c:order val="0"/>
          <c:tx>
            <c:v>2007</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(Overweight_Obese!$B$5,Overweight_Obese!$E$5,Overweight_Obese!$H$5,Overweight_Obese!$K$5,Overweight_Obese!$N$5,Overweight_Obese!$Q$5,Overweight_Obese!$T$5)</c:f>
              <c:numCache>
                <c:formatCode>0</c:formatCode>
                <c:ptCount val="7"/>
                <c:pt idx="0">
                  <c:v>12.395768879460162</c:v>
                </c:pt>
                <c:pt idx="1">
                  <c:v>13</c:v>
                </c:pt>
                <c:pt idx="2">
                  <c:v>12.385321100917436</c:v>
                </c:pt>
                <c:pt idx="3">
                  <c:v>18.965517241379306</c:v>
                </c:pt>
                <c:pt idx="4">
                  <c:v>6.2500000000000018</c:v>
                </c:pt>
                <c:pt idx="5">
                  <c:v>6.6666666666666679</c:v>
                </c:pt>
                <c:pt idx="6">
                  <c:v>27.027027027027028</c:v>
                </c:pt>
              </c:numCache>
            </c:numRef>
          </c:val>
        </c:ser>
        <c:ser>
          <c:idx val="1"/>
          <c:order val="1"/>
          <c:tx>
            <c:v>2010</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(Overweight_Obese!$C$5,Overweight_Obese!$F$5,Overweight_Obese!$I$5,Overweight_Obese!$L$5,Overweight_Obese!$O$5,Overweight_Obese!$R$5,Overweight_Obese!$U$5)</c:f>
              <c:numCache>
                <c:formatCode>0</c:formatCode>
                <c:ptCount val="7"/>
                <c:pt idx="0">
                  <c:v>11.928758386232959</c:v>
                </c:pt>
                <c:pt idx="1">
                  <c:v>12</c:v>
                </c:pt>
                <c:pt idx="2">
                  <c:v>10.952380952380958</c:v>
                </c:pt>
                <c:pt idx="3">
                  <c:v>15.094339622641501</c:v>
                </c:pt>
                <c:pt idx="4">
                  <c:v>13.846153846153845</c:v>
                </c:pt>
                <c:pt idx="5">
                  <c:v>11.627906976744187</c:v>
                </c:pt>
                <c:pt idx="6">
                  <c:v>6.8965517241379306</c:v>
                </c:pt>
              </c:numCache>
            </c:numRef>
          </c:val>
        </c:ser>
        <c:dLbls>
          <c:showLegendKey val="0"/>
          <c:showVal val="0"/>
          <c:showCatName val="0"/>
          <c:showSerName val="0"/>
          <c:showPercent val="0"/>
          <c:showBubbleSize val="0"/>
        </c:dLbls>
        <c:gapWidth val="150"/>
        <c:axId val="355824000"/>
        <c:axId val="355824392"/>
      </c:barChart>
      <c:catAx>
        <c:axId val="355824000"/>
        <c:scaling>
          <c:orientation val="minMax"/>
        </c:scaling>
        <c:delete val="0"/>
        <c:axPos val="b"/>
        <c:numFmt formatCode="General" sourceLinked="1"/>
        <c:majorTickMark val="out"/>
        <c:minorTickMark val="none"/>
        <c:tickLblPos val="nextTo"/>
        <c:crossAx val="355824392"/>
        <c:crosses val="autoZero"/>
        <c:auto val="1"/>
        <c:lblAlgn val="ctr"/>
        <c:lblOffset val="100"/>
        <c:noMultiLvlLbl val="0"/>
      </c:catAx>
      <c:valAx>
        <c:axId val="355824392"/>
        <c:scaling>
          <c:orientation val="minMax"/>
        </c:scaling>
        <c:delete val="0"/>
        <c:axPos val="l"/>
        <c:majorGridlines/>
        <c:numFmt formatCode="0" sourceLinked="1"/>
        <c:majorTickMark val="out"/>
        <c:minorTickMark val="none"/>
        <c:tickLblPos val="nextTo"/>
        <c:crossAx val="355824000"/>
        <c:crosses val="autoZero"/>
        <c:crossBetween val="between"/>
      </c:valAx>
    </c:plotArea>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54564753668733E-2"/>
          <c:y val="3.4555604105545694E-2"/>
          <c:w val="0.93154862456581966"/>
          <c:h val="0.85190162384854795"/>
        </c:manualLayout>
      </c:layout>
      <c:barChart>
        <c:barDir val="col"/>
        <c:grouping val="clustered"/>
        <c:varyColors val="0"/>
        <c:ser>
          <c:idx val="0"/>
          <c:order val="0"/>
          <c:tx>
            <c:v>2007</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(Overweight_Obese!$B$8,Overweight_Obese!$E$8,Overweight_Obese!$H$8,Overweight_Obese!$K$8,Overweight_Obese!$N$8,Overweight_Obese!$Q$8,Overweight_Obese!$T$8)</c:f>
              <c:numCache>
                <c:formatCode>0</c:formatCode>
                <c:ptCount val="7"/>
                <c:pt idx="0">
                  <c:v>9.1664456819588302</c:v>
                </c:pt>
                <c:pt idx="1">
                  <c:v>9</c:v>
                </c:pt>
                <c:pt idx="2">
                  <c:v>7.7981651376146832</c:v>
                </c:pt>
                <c:pt idx="3">
                  <c:v>8.6206896551724128</c:v>
                </c:pt>
                <c:pt idx="4">
                  <c:v>7.5000000000000009</c:v>
                </c:pt>
                <c:pt idx="5">
                  <c:v>16.666666666666668</c:v>
                </c:pt>
                <c:pt idx="6">
                  <c:v>5.4054054054054044</c:v>
                </c:pt>
              </c:numCache>
            </c:numRef>
          </c:val>
        </c:ser>
        <c:ser>
          <c:idx val="1"/>
          <c:order val="1"/>
          <c:tx>
            <c:v>2010</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(Overweight_Obese!$C$8,Overweight_Obese!$F$8,Overweight_Obese!$I$8,Overweight_Obese!$L$8,Overweight_Obese!$O$8,Overweight_Obese!$R$8,Overweight_Obese!$U$8)</c:f>
              <c:numCache>
                <c:formatCode>0</c:formatCode>
                <c:ptCount val="7"/>
                <c:pt idx="0">
                  <c:v>9.4316916874755119</c:v>
                </c:pt>
                <c:pt idx="1">
                  <c:v>9</c:v>
                </c:pt>
                <c:pt idx="2">
                  <c:v>7.6190476190476195</c:v>
                </c:pt>
                <c:pt idx="3">
                  <c:v>16.981132075471692</c:v>
                </c:pt>
                <c:pt idx="4">
                  <c:v>10.76923076923077</c:v>
                </c:pt>
                <c:pt idx="5">
                  <c:v>2.3255813953488373</c:v>
                </c:pt>
                <c:pt idx="6">
                  <c:v>10.344827586206895</c:v>
                </c:pt>
              </c:numCache>
            </c:numRef>
          </c:val>
        </c:ser>
        <c:dLbls>
          <c:showLegendKey val="0"/>
          <c:showVal val="0"/>
          <c:showCatName val="0"/>
          <c:showSerName val="0"/>
          <c:showPercent val="0"/>
          <c:showBubbleSize val="0"/>
        </c:dLbls>
        <c:gapWidth val="150"/>
        <c:axId val="355825176"/>
        <c:axId val="355825568"/>
      </c:barChart>
      <c:catAx>
        <c:axId val="355825176"/>
        <c:scaling>
          <c:orientation val="minMax"/>
        </c:scaling>
        <c:delete val="0"/>
        <c:axPos val="b"/>
        <c:numFmt formatCode="General" sourceLinked="1"/>
        <c:majorTickMark val="out"/>
        <c:minorTickMark val="none"/>
        <c:tickLblPos val="nextTo"/>
        <c:crossAx val="355825568"/>
        <c:crosses val="autoZero"/>
        <c:auto val="1"/>
        <c:lblAlgn val="ctr"/>
        <c:lblOffset val="100"/>
        <c:noMultiLvlLbl val="0"/>
      </c:catAx>
      <c:valAx>
        <c:axId val="355825568"/>
        <c:scaling>
          <c:orientation val="minMax"/>
        </c:scaling>
        <c:delete val="0"/>
        <c:axPos val="l"/>
        <c:majorGridlines/>
        <c:numFmt formatCode="0" sourceLinked="1"/>
        <c:majorTickMark val="out"/>
        <c:minorTickMark val="none"/>
        <c:tickLblPos val="nextTo"/>
        <c:crossAx val="355825176"/>
        <c:crosses val="autoZero"/>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023398075889075E-2"/>
          <c:y val="3.2598929941449625E-2"/>
          <c:w val="0.93159301997284616"/>
          <c:h val="0.86028753617336295"/>
        </c:manualLayout>
      </c:layout>
      <c:barChart>
        <c:barDir val="col"/>
        <c:grouping val="clustered"/>
        <c:varyColors val="0"/>
        <c:ser>
          <c:idx val="0"/>
          <c:order val="0"/>
          <c:tx>
            <c:v>2007</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(Overweight_Obese!$B$11,Overweight_Obese!$E$11,Overweight_Obese!$H$11,Overweight_Obese!$K$11,Overweight_Obese!$N$11,Overweight_Obese!$Q$11,Overweight_Obese!$T$11)</c:f>
              <c:numCache>
                <c:formatCode>General</c:formatCode>
                <c:ptCount val="7"/>
                <c:pt idx="0" formatCode="0">
                  <c:v>25.187665689967783</c:v>
                </c:pt>
                <c:pt idx="1">
                  <c:v>28.118393234672261</c:v>
                </c:pt>
                <c:pt idx="2" formatCode="0">
                  <c:v>26.086956521739111</c:v>
                </c:pt>
                <c:pt idx="3" formatCode="0">
                  <c:v>36.666666666666643</c:v>
                </c:pt>
                <c:pt idx="4" formatCode="0">
                  <c:v>27.710843373493983</c:v>
                </c:pt>
                <c:pt idx="5" formatCode="0">
                  <c:v>29.508196721311471</c:v>
                </c:pt>
                <c:pt idx="6" formatCode="0">
                  <c:v>25.641025641025642</c:v>
                </c:pt>
              </c:numCache>
            </c:numRef>
          </c:val>
        </c:ser>
        <c:ser>
          <c:idx val="1"/>
          <c:order val="1"/>
          <c:tx>
            <c:v>2010</c:v>
          </c:tx>
          <c:invertIfNegative val="0"/>
          <c:cat>
            <c:strRef>
              <c:f>Overweight_Obese!$W$1:$W$7</c:f>
              <c:strCache>
                <c:ptCount val="7"/>
                <c:pt idx="0">
                  <c:v>Minnesota</c:v>
                </c:pt>
                <c:pt idx="1">
                  <c:v>Horizon</c:v>
                </c:pt>
                <c:pt idx="2">
                  <c:v>Douglas</c:v>
                </c:pt>
                <c:pt idx="3">
                  <c:v>Grant</c:v>
                </c:pt>
                <c:pt idx="4">
                  <c:v>Pope</c:v>
                </c:pt>
                <c:pt idx="5">
                  <c:v>Stevens</c:v>
                </c:pt>
                <c:pt idx="6">
                  <c:v>Traverse</c:v>
                </c:pt>
              </c:strCache>
            </c:strRef>
          </c:cat>
          <c:val>
            <c:numRef>
              <c:f>(Overweight_Obese!$C$11,Overweight_Obese!$F$11,Overweight_Obese!$I$11,Overweight_Obese!$L$11,Overweight_Obese!$O$11,Overweight_Obese!$R$11,Overweight_Obese!$U$11)</c:f>
              <c:numCache>
                <c:formatCode>General</c:formatCode>
                <c:ptCount val="7"/>
                <c:pt idx="0" formatCode="0">
                  <c:v>23.054633432735347</c:v>
                </c:pt>
                <c:pt idx="1">
                  <c:v>22.863741339491902</c:v>
                </c:pt>
                <c:pt idx="2" formatCode="0">
                  <c:v>19.65065502183408</c:v>
                </c:pt>
                <c:pt idx="3" formatCode="0">
                  <c:v>35.185185185185198</c:v>
                </c:pt>
                <c:pt idx="4" formatCode="0">
                  <c:v>25.35211267605634</c:v>
                </c:pt>
                <c:pt idx="5" formatCode="0">
                  <c:v>22.448979591836732</c:v>
                </c:pt>
                <c:pt idx="6" formatCode="0">
                  <c:v>20.000000000000004</c:v>
                </c:pt>
              </c:numCache>
            </c:numRef>
          </c:val>
        </c:ser>
        <c:dLbls>
          <c:showLegendKey val="0"/>
          <c:showVal val="0"/>
          <c:showCatName val="0"/>
          <c:showSerName val="0"/>
          <c:showPercent val="0"/>
          <c:showBubbleSize val="0"/>
        </c:dLbls>
        <c:gapWidth val="150"/>
        <c:axId val="355826352"/>
        <c:axId val="355826744"/>
      </c:barChart>
      <c:catAx>
        <c:axId val="355826352"/>
        <c:scaling>
          <c:orientation val="minMax"/>
        </c:scaling>
        <c:delete val="0"/>
        <c:axPos val="b"/>
        <c:numFmt formatCode="General" sourceLinked="1"/>
        <c:majorTickMark val="out"/>
        <c:minorTickMark val="none"/>
        <c:tickLblPos val="nextTo"/>
        <c:crossAx val="355826744"/>
        <c:crosses val="autoZero"/>
        <c:auto val="1"/>
        <c:lblAlgn val="ctr"/>
        <c:lblOffset val="100"/>
        <c:noMultiLvlLbl val="0"/>
      </c:catAx>
      <c:valAx>
        <c:axId val="355826744"/>
        <c:scaling>
          <c:orientation val="minMax"/>
        </c:scaling>
        <c:delete val="0"/>
        <c:axPos val="l"/>
        <c:majorGridlines/>
        <c:numFmt formatCode="0" sourceLinked="1"/>
        <c:majorTickMark val="out"/>
        <c:minorTickMark val="none"/>
        <c:tickLblPos val="nextTo"/>
        <c:crossAx val="35582635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tbl_1_pop_pyr!$C$4</c:f>
              <c:strCache>
                <c:ptCount val="1"/>
                <c:pt idx="0">
                  <c:v>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data'!$B$3:$B$20</c:f>
              <c:numCache>
                <c:formatCode>0.0</c:formatCode>
                <c:ptCount val="18"/>
                <c:pt idx="0">
                  <c:v>-3.1066026628022825</c:v>
                </c:pt>
                <c:pt idx="1">
                  <c:v>-3.2152884702472604</c:v>
                </c:pt>
                <c:pt idx="2">
                  <c:v>-2.9345168010144009</c:v>
                </c:pt>
                <c:pt idx="3">
                  <c:v>-2.7896023910877639</c:v>
                </c:pt>
                <c:pt idx="4">
                  <c:v>-2.4544878181324155</c:v>
                </c:pt>
                <c:pt idx="5">
                  <c:v>-2.5812879268182232</c:v>
                </c:pt>
                <c:pt idx="6">
                  <c:v>-3.2696313739697489</c:v>
                </c:pt>
                <c:pt idx="7">
                  <c:v>-2.4454306675120008</c:v>
                </c:pt>
                <c:pt idx="8">
                  <c:v>-2.7171451861244451</c:v>
                </c:pt>
                <c:pt idx="9">
                  <c:v>-2.7805452404673492</c:v>
                </c:pt>
                <c:pt idx="10">
                  <c:v>-3.5141744407209492</c:v>
                </c:pt>
                <c:pt idx="11">
                  <c:v>-3.8855176161579568</c:v>
                </c:pt>
                <c:pt idx="12">
                  <c:v>-4.2206321891133047</c:v>
                </c:pt>
                <c:pt idx="13">
                  <c:v>-3.7406032062313197</c:v>
                </c:pt>
                <c:pt idx="14">
                  <c:v>-2.7262023367448602</c:v>
                </c:pt>
                <c:pt idx="15">
                  <c:v>-1.7208586178788152</c:v>
                </c:pt>
                <c:pt idx="16">
                  <c:v>-1.2227153337560004</c:v>
                </c:pt>
                <c:pt idx="17">
                  <c:v>-1.5034870029888596</c:v>
                </c:pt>
              </c:numCache>
            </c:numRef>
          </c:val>
        </c:ser>
        <c:ser>
          <c:idx val="0"/>
          <c:order val="1"/>
          <c:tx>
            <c:strRef>
              <c:f>tbl_1_pop_pyr!$D$4</c:f>
              <c:strCache>
                <c:ptCount val="1"/>
                <c:pt idx="0">
                  <c:v>Female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data'!$C$3:$C$20</c:f>
              <c:numCache>
                <c:formatCode>0.0</c:formatCode>
                <c:ptCount val="18"/>
                <c:pt idx="0">
                  <c:v>2.6899737342632006</c:v>
                </c:pt>
                <c:pt idx="1">
                  <c:v>2.7714880898469341</c:v>
                </c:pt>
                <c:pt idx="2">
                  <c:v>2.6899737342632006</c:v>
                </c:pt>
                <c:pt idx="3">
                  <c:v>2.4363735168915861</c:v>
                </c:pt>
                <c:pt idx="4">
                  <c:v>2.2008876007608005</c:v>
                </c:pt>
                <c:pt idx="5">
                  <c:v>2.4544878181324155</c:v>
                </c:pt>
                <c:pt idx="6">
                  <c:v>2.6718594330223713</c:v>
                </c:pt>
                <c:pt idx="7">
                  <c:v>2.4635449687528306</c:v>
                </c:pt>
                <c:pt idx="8">
                  <c:v>2.2642876551037046</c:v>
                </c:pt>
                <c:pt idx="9">
                  <c:v>2.626573679920297</c:v>
                </c:pt>
                <c:pt idx="10">
                  <c:v>3.2062313196268453</c:v>
                </c:pt>
                <c:pt idx="11">
                  <c:v>4.2568607915949643</c:v>
                </c:pt>
                <c:pt idx="12">
                  <c:v>3.6862603025088307</c:v>
                </c:pt>
                <c:pt idx="13">
                  <c:v>3.4236029345168011</c:v>
                </c:pt>
                <c:pt idx="14">
                  <c:v>2.6084593786794676</c:v>
                </c:pt>
                <c:pt idx="15">
                  <c:v>2.4182592156507563</c:v>
                </c:pt>
                <c:pt idx="16">
                  <c:v>1.7118014672584005</c:v>
                </c:pt>
                <c:pt idx="17">
                  <c:v>2.5903450774386378</c:v>
                </c:pt>
              </c:numCache>
            </c:numRef>
          </c:val>
        </c:ser>
        <c:dLbls>
          <c:showLegendKey val="0"/>
          <c:showVal val="0"/>
          <c:showCatName val="0"/>
          <c:showSerName val="0"/>
          <c:showPercent val="0"/>
          <c:showBubbleSize val="0"/>
        </c:dLbls>
        <c:gapWidth val="0"/>
        <c:overlap val="100"/>
        <c:axId val="319437680"/>
        <c:axId val="319438072"/>
      </c:barChart>
      <c:catAx>
        <c:axId val="319437680"/>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8072"/>
        <c:crosses val="autoZero"/>
        <c:auto val="1"/>
        <c:lblAlgn val="ctr"/>
        <c:lblOffset val="100"/>
        <c:tickLblSkip val="1"/>
        <c:tickMarkSkip val="1"/>
        <c:noMultiLvlLbl val="0"/>
      </c:catAx>
      <c:valAx>
        <c:axId val="319438072"/>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7680"/>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tbl_1_pop_pyr!$C$4</c:f>
              <c:strCache>
                <c:ptCount val="1"/>
                <c:pt idx="0">
                  <c:v>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data'!$B$3:$B$20</c:f>
              <c:numCache>
                <c:formatCode>0.0</c:formatCode>
                <c:ptCount val="18"/>
                <c:pt idx="0">
                  <c:v>-2.7460187831768068</c:v>
                </c:pt>
                <c:pt idx="1">
                  <c:v>-3.1441404654961209</c:v>
                </c:pt>
                <c:pt idx="2">
                  <c:v>-3.2768476929358923</c:v>
                </c:pt>
                <c:pt idx="3">
                  <c:v>-5.0224581461821147</c:v>
                </c:pt>
                <c:pt idx="4">
                  <c:v>-6.4209881584320128</c:v>
                </c:pt>
                <c:pt idx="5">
                  <c:v>-2.950183748468763</c:v>
                </c:pt>
                <c:pt idx="6">
                  <c:v>-2.9603919967333607</c:v>
                </c:pt>
                <c:pt idx="7">
                  <c:v>-2.9093507554103715</c:v>
                </c:pt>
                <c:pt idx="8">
                  <c:v>-2.0926908942425482</c:v>
                </c:pt>
                <c:pt idx="9">
                  <c:v>-2.143732135565537</c:v>
                </c:pt>
                <c:pt idx="10">
                  <c:v>-2.6847692935892202</c:v>
                </c:pt>
                <c:pt idx="11">
                  <c:v>-3.1033074724377299</c:v>
                </c:pt>
                <c:pt idx="12">
                  <c:v>-2.8991425071457737</c:v>
                </c:pt>
                <c:pt idx="13">
                  <c:v>-2.143732135565537</c:v>
                </c:pt>
                <c:pt idx="14">
                  <c:v>-1.5108207431604737</c:v>
                </c:pt>
                <c:pt idx="15">
                  <c:v>-1.29644752960392</c:v>
                </c:pt>
                <c:pt idx="16">
                  <c:v>-1.0310330747243772</c:v>
                </c:pt>
                <c:pt idx="17">
                  <c:v>-1.2454062882809309</c:v>
                </c:pt>
              </c:numCache>
            </c:numRef>
          </c:val>
        </c:ser>
        <c:ser>
          <c:idx val="0"/>
          <c:order val="1"/>
          <c:tx>
            <c:strRef>
              <c:f>tbl_1_pop_pyr!$D$4</c:f>
              <c:strCache>
                <c:ptCount val="1"/>
                <c:pt idx="0">
                  <c:v>Female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data'!$C$3:$C$20</c:f>
              <c:numCache>
                <c:formatCode>0.0</c:formatCode>
                <c:ptCount val="18"/>
                <c:pt idx="0">
                  <c:v>2.8378930175581871</c:v>
                </c:pt>
                <c:pt idx="1">
                  <c:v>3.0318497345855451</c:v>
                </c:pt>
                <c:pt idx="2">
                  <c:v>2.6031033074724377</c:v>
                </c:pt>
                <c:pt idx="3">
                  <c:v>5.9207839934667215</c:v>
                </c:pt>
                <c:pt idx="4">
                  <c:v>6.66598611678236</c:v>
                </c:pt>
                <c:pt idx="5">
                  <c:v>2.398938342180482</c:v>
                </c:pt>
                <c:pt idx="6">
                  <c:v>2.8072682727643938</c:v>
                </c:pt>
                <c:pt idx="7">
                  <c:v>2.3376888525928949</c:v>
                </c:pt>
                <c:pt idx="8">
                  <c:v>2.0008166598611679</c:v>
                </c:pt>
                <c:pt idx="9">
                  <c:v>2.3172723560636994</c:v>
                </c:pt>
                <c:pt idx="10">
                  <c:v>2.6541445487954265</c:v>
                </c:pt>
                <c:pt idx="11">
                  <c:v>3.1237239689669254</c:v>
                </c:pt>
                <c:pt idx="12">
                  <c:v>2.7766435279706001</c:v>
                </c:pt>
                <c:pt idx="13">
                  <c:v>2.0314414046549611</c:v>
                </c:pt>
                <c:pt idx="14">
                  <c:v>1.7762351980400164</c:v>
                </c:pt>
                <c:pt idx="15">
                  <c:v>1.3270722743977132</c:v>
                </c:pt>
                <c:pt idx="16">
                  <c:v>1.5006124948958759</c:v>
                </c:pt>
                <c:pt idx="17">
                  <c:v>2.3070641077991016</c:v>
                </c:pt>
              </c:numCache>
            </c:numRef>
          </c:val>
        </c:ser>
        <c:dLbls>
          <c:showLegendKey val="0"/>
          <c:showVal val="0"/>
          <c:showCatName val="0"/>
          <c:showSerName val="0"/>
          <c:showPercent val="0"/>
          <c:showBubbleSize val="0"/>
        </c:dLbls>
        <c:gapWidth val="0"/>
        <c:overlap val="100"/>
        <c:axId val="319437288"/>
        <c:axId val="319438856"/>
      </c:barChart>
      <c:catAx>
        <c:axId val="319437288"/>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8856"/>
        <c:crosses val="autoZero"/>
        <c:auto val="1"/>
        <c:lblAlgn val="ctr"/>
        <c:lblOffset val="100"/>
        <c:tickLblSkip val="1"/>
        <c:tickMarkSkip val="1"/>
        <c:noMultiLvlLbl val="0"/>
      </c:catAx>
      <c:valAx>
        <c:axId val="319438856"/>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37288"/>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53803474986108"/>
          <c:y val="7.2886401134294621E-2"/>
          <c:w val="0.80847290888457657"/>
          <c:h val="0.70845581902534371"/>
        </c:manualLayout>
      </c:layout>
      <c:barChart>
        <c:barDir val="bar"/>
        <c:grouping val="clustered"/>
        <c:varyColors val="0"/>
        <c:ser>
          <c:idx val="2"/>
          <c:order val="0"/>
          <c:tx>
            <c:strRef>
              <c:f>tbl_1_pop_pyr!$C$4</c:f>
              <c:strCache>
                <c:ptCount val="1"/>
                <c:pt idx="0">
                  <c:v>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data'!$B$3:$B$20</c:f>
              <c:numCache>
                <c:formatCode>0.0</c:formatCode>
                <c:ptCount val="18"/>
                <c:pt idx="0">
                  <c:v>-2.8521023228462217</c:v>
                </c:pt>
                <c:pt idx="1">
                  <c:v>-2.7344898559247279</c:v>
                </c:pt>
                <c:pt idx="2">
                  <c:v>-3.1755366068803292</c:v>
                </c:pt>
                <c:pt idx="3">
                  <c:v>-3.3225521905321962</c:v>
                </c:pt>
                <c:pt idx="4">
                  <c:v>-2.3816524551602472</c:v>
                </c:pt>
                <c:pt idx="5">
                  <c:v>-2.3522493384298735</c:v>
                </c:pt>
                <c:pt idx="6">
                  <c:v>-2.5580711555424873</c:v>
                </c:pt>
                <c:pt idx="7">
                  <c:v>-2.6462805057336078</c:v>
                </c:pt>
                <c:pt idx="8">
                  <c:v>-2.3228462216995003</c:v>
                </c:pt>
                <c:pt idx="9">
                  <c:v>-2.7344898559247279</c:v>
                </c:pt>
                <c:pt idx="10">
                  <c:v>-3.5871802411055573</c:v>
                </c:pt>
                <c:pt idx="11">
                  <c:v>-3.7930020582181712</c:v>
                </c:pt>
                <c:pt idx="12">
                  <c:v>-4.3516612760952658</c:v>
                </c:pt>
                <c:pt idx="13">
                  <c:v>-2.5580711555424873</c:v>
                </c:pt>
                <c:pt idx="14">
                  <c:v>-2.4698618053513672</c:v>
                </c:pt>
                <c:pt idx="15">
                  <c:v>-2.1464275213172597</c:v>
                </c:pt>
                <c:pt idx="16">
                  <c:v>-2.1464275213172597</c:v>
                </c:pt>
                <c:pt idx="17">
                  <c:v>-1.6465745369009115</c:v>
                </c:pt>
              </c:numCache>
            </c:numRef>
          </c:val>
        </c:ser>
        <c:ser>
          <c:idx val="0"/>
          <c:order val="1"/>
          <c:tx>
            <c:strRef>
              <c:f>tbl_1_pop_pyr!$D$4</c:f>
              <c:strCache>
                <c:ptCount val="1"/>
                <c:pt idx="0">
                  <c:v>Female</c:v>
                </c:pt>
              </c:strCache>
            </c:strRef>
          </c:tx>
          <c:invertIfNegative val="0"/>
          <c:cat>
            <c:strRef>
              <c:f>'pyramid data'!$D$3:$D$20</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85&amp;up</c:v>
                </c:pt>
              </c:strCache>
            </c:strRef>
          </c:cat>
          <c:val>
            <c:numRef>
              <c:f>'pyramid data'!$C$3:$C$20</c:f>
              <c:numCache>
                <c:formatCode>0.0</c:formatCode>
                <c:ptCount val="18"/>
                <c:pt idx="0">
                  <c:v>2.2052337547780065</c:v>
                </c:pt>
                <c:pt idx="1">
                  <c:v>2.9697147897677154</c:v>
                </c:pt>
                <c:pt idx="2">
                  <c:v>2.7932960893854748</c:v>
                </c:pt>
                <c:pt idx="3">
                  <c:v>2.8815054395765953</c:v>
                </c:pt>
                <c:pt idx="4">
                  <c:v>2.440458688620994</c:v>
                </c:pt>
                <c:pt idx="5">
                  <c:v>1.8817994707438988</c:v>
                </c:pt>
                <c:pt idx="6">
                  <c:v>2.2934431049691266</c:v>
                </c:pt>
                <c:pt idx="7">
                  <c:v>2.3816524551602472</c:v>
                </c:pt>
                <c:pt idx="8">
                  <c:v>2.4110555718906204</c:v>
                </c:pt>
                <c:pt idx="9">
                  <c:v>2.4992649220817404</c:v>
                </c:pt>
                <c:pt idx="10">
                  <c:v>3.6165833578359305</c:v>
                </c:pt>
                <c:pt idx="11">
                  <c:v>3.7930020582181712</c:v>
                </c:pt>
                <c:pt idx="12">
                  <c:v>3.6165833578359305</c:v>
                </c:pt>
                <c:pt idx="13">
                  <c:v>2.4992649220817404</c:v>
                </c:pt>
                <c:pt idx="14">
                  <c:v>3.0285210232284623</c:v>
                </c:pt>
                <c:pt idx="15">
                  <c:v>2.4698618053513672</c:v>
                </c:pt>
                <c:pt idx="16">
                  <c:v>2.8815054395765953</c:v>
                </c:pt>
                <c:pt idx="17">
                  <c:v>3.5577771243751837</c:v>
                </c:pt>
              </c:numCache>
            </c:numRef>
          </c:val>
        </c:ser>
        <c:dLbls>
          <c:showLegendKey val="0"/>
          <c:showVal val="0"/>
          <c:showCatName val="0"/>
          <c:showSerName val="0"/>
          <c:showPercent val="0"/>
          <c:showBubbleSize val="0"/>
        </c:dLbls>
        <c:gapWidth val="0"/>
        <c:overlap val="100"/>
        <c:axId val="319470560"/>
        <c:axId val="319470952"/>
      </c:barChart>
      <c:catAx>
        <c:axId val="319470560"/>
        <c:scaling>
          <c:orientation val="minMax"/>
        </c:scaling>
        <c:delete val="0"/>
        <c:axPos val="l"/>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Age Group</a:t>
                </a:r>
              </a:p>
            </c:rich>
          </c:tx>
          <c:layout>
            <c:manualLayout>
              <c:xMode val="edge"/>
              <c:yMode val="edge"/>
              <c:x val="4.2357274401473299E-2"/>
              <c:y val="0.34110848388849352"/>
            </c:manualLayout>
          </c:layout>
          <c:overlay val="0"/>
          <c:spPr>
            <a:noFill/>
            <a:ln w="25400">
              <a:noFill/>
            </a:ln>
          </c:spPr>
        </c:title>
        <c:numFmt formatCode="General" sourceLinked="1"/>
        <c:majorTickMark val="none"/>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70952"/>
        <c:crosses val="autoZero"/>
        <c:auto val="1"/>
        <c:lblAlgn val="ctr"/>
        <c:lblOffset val="100"/>
        <c:tickLblSkip val="1"/>
        <c:tickMarkSkip val="1"/>
        <c:noMultiLvlLbl val="0"/>
      </c:catAx>
      <c:valAx>
        <c:axId val="319470952"/>
        <c:scaling>
          <c:orientation val="minMax"/>
        </c:scaling>
        <c:delete val="0"/>
        <c:axPos val="b"/>
        <c:title>
          <c:tx>
            <c:rich>
              <a:bodyPr/>
              <a:lstStyle/>
              <a:p>
                <a:pPr>
                  <a:defRPr sz="900" b="0" i="0" u="none" strike="noStrike" baseline="0">
                    <a:solidFill>
                      <a:srgbClr val="000000"/>
                    </a:solidFill>
                    <a:latin typeface="Tw Cen MT" pitchFamily="34" charset="0"/>
                    <a:ea typeface="Times New Roman"/>
                    <a:cs typeface="Times New Roman"/>
                  </a:defRPr>
                </a:pPr>
                <a:r>
                  <a:rPr lang="en-US">
                    <a:latin typeface="Tw Cen MT" pitchFamily="34" charset="0"/>
                  </a:rPr>
                  <a:t>Percent of Total Population</a:t>
                </a:r>
              </a:p>
            </c:rich>
          </c:tx>
          <c:layout>
            <c:manualLayout>
              <c:xMode val="edge"/>
              <c:yMode val="edge"/>
              <c:x val="0.43278162052947799"/>
              <c:y val="0.86880588905978584"/>
            </c:manualLayout>
          </c:layout>
          <c:overlay val="0"/>
          <c:spPr>
            <a:noFill/>
            <a:ln w="25400">
              <a:noFill/>
            </a:ln>
          </c:spPr>
        </c:title>
        <c:numFmt formatCode="0.0;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w Cen MT" pitchFamily="34" charset="0"/>
                <a:ea typeface="Times New Roman"/>
                <a:cs typeface="Times New Roman"/>
              </a:defRPr>
            </a:pPr>
            <a:endParaRPr lang="en-US"/>
          </a:p>
        </c:txPr>
        <c:crossAx val="319470560"/>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Times New Roman"/>
          <a:ea typeface="Times New Roman"/>
          <a:cs typeface="Times New Roman"/>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en-US"/>
              <a:t>Hispanic and Latino Population</a:t>
            </a:r>
          </a:p>
        </c:rich>
      </c:tx>
      <c:layout/>
      <c:overlay val="0"/>
    </c:title>
    <c:autoTitleDeleted val="0"/>
    <c:plotArea>
      <c:layout/>
      <c:barChart>
        <c:barDir val="col"/>
        <c:grouping val="clustered"/>
        <c:varyColors val="0"/>
        <c:ser>
          <c:idx val="0"/>
          <c:order val="0"/>
          <c:tx>
            <c:strRef>
              <c:f>'County Comparisons'!$B$1</c:f>
              <c:strCache>
                <c:ptCount val="1"/>
                <c:pt idx="0">
                  <c:v>Total Hispanic or Latino Population, 1990</c:v>
                </c:pt>
              </c:strCache>
            </c:strRef>
          </c:tx>
          <c:invertIfNegative val="0"/>
          <c:cat>
            <c:strRef>
              <c:f>'County Comparisons'!$A$2:$A$7</c:f>
              <c:strCache>
                <c:ptCount val="6"/>
                <c:pt idx="0">
                  <c:v>Horizon</c:v>
                </c:pt>
                <c:pt idx="1">
                  <c:v>Douglas</c:v>
                </c:pt>
                <c:pt idx="2">
                  <c:v>Grant</c:v>
                </c:pt>
                <c:pt idx="3">
                  <c:v>Pope</c:v>
                </c:pt>
                <c:pt idx="4">
                  <c:v>Stevens</c:v>
                </c:pt>
                <c:pt idx="5">
                  <c:v>Traverse</c:v>
                </c:pt>
              </c:strCache>
            </c:strRef>
          </c:cat>
          <c:val>
            <c:numRef>
              <c:f>'County Comparisons'!$B$2:$B$7</c:f>
              <c:numCache>
                <c:formatCode>General</c:formatCode>
                <c:ptCount val="6"/>
                <c:pt idx="0">
                  <c:v>156</c:v>
                </c:pt>
                <c:pt idx="1">
                  <c:v>78</c:v>
                </c:pt>
                <c:pt idx="2">
                  <c:v>7</c:v>
                </c:pt>
                <c:pt idx="3">
                  <c:v>7</c:v>
                </c:pt>
                <c:pt idx="4">
                  <c:v>56</c:v>
                </c:pt>
                <c:pt idx="5">
                  <c:v>8</c:v>
                </c:pt>
              </c:numCache>
            </c:numRef>
          </c:val>
        </c:ser>
        <c:ser>
          <c:idx val="1"/>
          <c:order val="1"/>
          <c:tx>
            <c:strRef>
              <c:f>'County Comparisons'!$C$1</c:f>
              <c:strCache>
                <c:ptCount val="1"/>
                <c:pt idx="0">
                  <c:v>Total Hispanic or Latino Population, 2000</c:v>
                </c:pt>
              </c:strCache>
            </c:strRef>
          </c:tx>
          <c:invertIfNegative val="0"/>
          <c:cat>
            <c:strRef>
              <c:f>'County Comparisons'!$A$2:$A$7</c:f>
              <c:strCache>
                <c:ptCount val="6"/>
                <c:pt idx="0">
                  <c:v>Horizon</c:v>
                </c:pt>
                <c:pt idx="1">
                  <c:v>Douglas</c:v>
                </c:pt>
                <c:pt idx="2">
                  <c:v>Grant</c:v>
                </c:pt>
                <c:pt idx="3">
                  <c:v>Pope</c:v>
                </c:pt>
                <c:pt idx="4">
                  <c:v>Stevens</c:v>
                </c:pt>
                <c:pt idx="5">
                  <c:v>Traverse</c:v>
                </c:pt>
              </c:strCache>
            </c:strRef>
          </c:cat>
          <c:val>
            <c:numRef>
              <c:f>'County Comparisons'!$C$2:$C$7</c:f>
              <c:numCache>
                <c:formatCode>General</c:formatCode>
                <c:ptCount val="6"/>
                <c:pt idx="0">
                  <c:v>423</c:v>
                </c:pt>
                <c:pt idx="1">
                  <c:v>193</c:v>
                </c:pt>
                <c:pt idx="2">
                  <c:v>33</c:v>
                </c:pt>
                <c:pt idx="3">
                  <c:v>57</c:v>
                </c:pt>
                <c:pt idx="4">
                  <c:v>90</c:v>
                </c:pt>
                <c:pt idx="5">
                  <c:v>50</c:v>
                </c:pt>
              </c:numCache>
            </c:numRef>
          </c:val>
        </c:ser>
        <c:ser>
          <c:idx val="2"/>
          <c:order val="2"/>
          <c:tx>
            <c:strRef>
              <c:f>'County Comparisons'!$D$1</c:f>
              <c:strCache>
                <c:ptCount val="1"/>
                <c:pt idx="0">
                  <c:v>Total Hispanic or Latino Population, 2010</c:v>
                </c:pt>
              </c:strCache>
            </c:strRef>
          </c:tx>
          <c:invertIfNegative val="0"/>
          <c:cat>
            <c:strRef>
              <c:f>'County Comparisons'!$A$2:$A$7</c:f>
              <c:strCache>
                <c:ptCount val="6"/>
                <c:pt idx="0">
                  <c:v>Horizon</c:v>
                </c:pt>
                <c:pt idx="1">
                  <c:v>Douglas</c:v>
                </c:pt>
                <c:pt idx="2">
                  <c:v>Grant</c:v>
                </c:pt>
                <c:pt idx="3">
                  <c:v>Pope</c:v>
                </c:pt>
                <c:pt idx="4">
                  <c:v>Stevens</c:v>
                </c:pt>
                <c:pt idx="5">
                  <c:v>Traverse</c:v>
                </c:pt>
              </c:strCache>
            </c:strRef>
          </c:cat>
          <c:val>
            <c:numRef>
              <c:f>'County Comparisons'!$D$2:$D$7</c:f>
              <c:numCache>
                <c:formatCode>General</c:formatCode>
                <c:ptCount val="6"/>
                <c:pt idx="0">
                  <c:v>917</c:v>
                </c:pt>
                <c:pt idx="1">
                  <c:v>341</c:v>
                </c:pt>
                <c:pt idx="2">
                  <c:v>94</c:v>
                </c:pt>
                <c:pt idx="3">
                  <c:v>95</c:v>
                </c:pt>
                <c:pt idx="4">
                  <c:v>337</c:v>
                </c:pt>
                <c:pt idx="5">
                  <c:v>50</c:v>
                </c:pt>
              </c:numCache>
            </c:numRef>
          </c:val>
        </c:ser>
        <c:dLbls>
          <c:showLegendKey val="0"/>
          <c:showVal val="0"/>
          <c:showCatName val="0"/>
          <c:showSerName val="0"/>
          <c:showPercent val="0"/>
          <c:showBubbleSize val="0"/>
        </c:dLbls>
        <c:gapWidth val="150"/>
        <c:axId val="319471736"/>
        <c:axId val="319472128"/>
      </c:barChart>
      <c:lineChart>
        <c:grouping val="standard"/>
        <c:varyColors val="0"/>
        <c:ser>
          <c:idx val="3"/>
          <c:order val="3"/>
          <c:tx>
            <c:strRef>
              <c:f>'County Comparisons'!$G$1</c:f>
              <c:strCache>
                <c:ptCount val="1"/>
                <c:pt idx="0">
                  <c:v>% of total 2010 Pop</c:v>
                </c:pt>
              </c:strCache>
            </c:strRef>
          </c:tx>
          <c:marker>
            <c:symbol val="none"/>
          </c:marker>
          <c:val>
            <c:numRef>
              <c:f>'County Comparisons'!$G$2:$G$7</c:f>
              <c:numCache>
                <c:formatCode>0.00%</c:formatCode>
                <c:ptCount val="6"/>
                <c:pt idx="0">
                  <c:v>1.1271171857715282E-2</c:v>
                </c:pt>
                <c:pt idx="1">
                  <c:v>9.4698547585325889E-3</c:v>
                </c:pt>
                <c:pt idx="2">
                  <c:v>1.5619807244931871E-2</c:v>
                </c:pt>
                <c:pt idx="3">
                  <c:v>8.6402910413824474E-3</c:v>
                </c:pt>
                <c:pt idx="4">
                  <c:v>3.4649393378572896E-2</c:v>
                </c:pt>
                <c:pt idx="5">
                  <c:v>1.4052838673412029E-2</c:v>
                </c:pt>
              </c:numCache>
            </c:numRef>
          </c:val>
          <c:smooth val="0"/>
        </c:ser>
        <c:dLbls>
          <c:showLegendKey val="0"/>
          <c:showVal val="0"/>
          <c:showCatName val="0"/>
          <c:showSerName val="0"/>
          <c:showPercent val="0"/>
          <c:showBubbleSize val="0"/>
        </c:dLbls>
        <c:marker val="1"/>
        <c:smooth val="0"/>
        <c:axId val="319472912"/>
        <c:axId val="319472520"/>
      </c:lineChart>
      <c:catAx>
        <c:axId val="319471736"/>
        <c:scaling>
          <c:orientation val="minMax"/>
        </c:scaling>
        <c:delete val="0"/>
        <c:axPos val="b"/>
        <c:title>
          <c:tx>
            <c:rich>
              <a:bodyPr/>
              <a:lstStyle/>
              <a:p>
                <a:pPr>
                  <a:defRPr/>
                </a:pPr>
                <a:r>
                  <a:rPr lang="en-US" b="0" i="1"/>
                  <a:t>Source: US Census Bureau, Decennial Census</a:t>
                </a:r>
              </a:p>
            </c:rich>
          </c:tx>
          <c:layout>
            <c:manualLayout>
              <c:xMode val="edge"/>
              <c:yMode val="edge"/>
              <c:x val="2.5960490145832363E-2"/>
              <c:y val="0.9127724344428142"/>
            </c:manualLayout>
          </c:layout>
          <c:overlay val="0"/>
        </c:title>
        <c:numFmt formatCode="General" sourceLinked="0"/>
        <c:majorTickMark val="out"/>
        <c:minorTickMark val="none"/>
        <c:tickLblPos val="nextTo"/>
        <c:crossAx val="319472128"/>
        <c:crosses val="autoZero"/>
        <c:auto val="1"/>
        <c:lblAlgn val="ctr"/>
        <c:lblOffset val="100"/>
        <c:noMultiLvlLbl val="0"/>
      </c:catAx>
      <c:valAx>
        <c:axId val="319472128"/>
        <c:scaling>
          <c:orientation val="minMax"/>
        </c:scaling>
        <c:delete val="0"/>
        <c:axPos val="l"/>
        <c:majorGridlines/>
        <c:title>
          <c:tx>
            <c:rich>
              <a:bodyPr rot="-5400000" vert="horz"/>
              <a:lstStyle/>
              <a:p>
                <a:pPr>
                  <a:defRPr/>
                </a:pPr>
                <a:r>
                  <a:rPr lang="en-US"/>
                  <a:t>Population</a:t>
                </a:r>
              </a:p>
            </c:rich>
          </c:tx>
          <c:layout/>
          <c:overlay val="0"/>
        </c:title>
        <c:numFmt formatCode="General" sourceLinked="1"/>
        <c:majorTickMark val="out"/>
        <c:minorTickMark val="none"/>
        <c:tickLblPos val="nextTo"/>
        <c:crossAx val="319471736"/>
        <c:crosses val="autoZero"/>
        <c:crossBetween val="between"/>
      </c:valAx>
      <c:valAx>
        <c:axId val="319472520"/>
        <c:scaling>
          <c:orientation val="minMax"/>
        </c:scaling>
        <c:delete val="0"/>
        <c:axPos val="r"/>
        <c:numFmt formatCode="0.00%" sourceLinked="1"/>
        <c:majorTickMark val="out"/>
        <c:minorTickMark val="none"/>
        <c:tickLblPos val="nextTo"/>
        <c:crossAx val="319472912"/>
        <c:crosses val="max"/>
        <c:crossBetween val="between"/>
      </c:valAx>
      <c:catAx>
        <c:axId val="319472912"/>
        <c:scaling>
          <c:orientation val="minMax"/>
        </c:scaling>
        <c:delete val="1"/>
        <c:axPos val="b"/>
        <c:majorTickMark val="out"/>
        <c:minorTickMark val="none"/>
        <c:tickLblPos val="nextTo"/>
        <c:crossAx val="319472520"/>
        <c:crosses val="autoZero"/>
        <c:auto val="1"/>
        <c:lblAlgn val="ctr"/>
        <c:lblOffset val="100"/>
        <c:noMultiLvlLbl val="0"/>
      </c:catAx>
    </c:plotArea>
    <c:legend>
      <c:legendPos val="r"/>
      <c:layout/>
      <c:overlay val="0"/>
    </c:legend>
    <c:plotVisOnly val="1"/>
    <c:dispBlanksAs val="gap"/>
    <c:showDLblsOverMax val="0"/>
  </c:chart>
  <c:spPr>
    <a:ln>
      <a:noFill/>
    </a:ln>
  </c:spPr>
  <c:externalData r:id="rId2">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0.53951</cdr:x>
      <cdr:y>0.25727</cdr:y>
    </cdr:from>
    <cdr:to>
      <cdr:x>0.78884</cdr:x>
      <cdr:y>0.55461</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8701" y="846138"/>
          <a:ext cx="1291932" cy="97428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10.xml><?xml version="1.0" encoding="utf-8"?>
<c:userShapes xmlns:c="http://schemas.openxmlformats.org/drawingml/2006/chart">
  <cdr:relSizeAnchor xmlns:cdr="http://schemas.openxmlformats.org/drawingml/2006/chartDrawing">
    <cdr:from>
      <cdr:x>0</cdr:x>
      <cdr:y>0.04642</cdr:y>
    </cdr:from>
    <cdr:to>
      <cdr:x>0.0548</cdr:x>
      <cdr:y>0.89024</cdr:y>
    </cdr:to>
    <cdr:sp macro="" textlink="">
      <cdr:nvSpPr>
        <cdr:cNvPr id="3" name="TextBox 1"/>
        <cdr:cNvSpPr txBox="1"/>
      </cdr:nvSpPr>
      <cdr:spPr>
        <a:xfrm xmlns:a="http://schemas.openxmlformats.org/drawingml/2006/main" rot="16200000">
          <a:off x="-1010720" y="1141349"/>
          <a:ext cx="2374780" cy="3533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t>Age</a:t>
          </a:r>
          <a:r>
            <a:rPr lang="en-US" sz="1200" b="1" baseline="0"/>
            <a:t> Adjusted Mortality Rate*</a:t>
          </a:r>
          <a:endParaRPr lang="en-US" sz="1200" b="1"/>
        </a:p>
      </cdr:txBody>
    </cdr:sp>
  </cdr:relSizeAnchor>
  <cdr:relSizeAnchor xmlns:cdr="http://schemas.openxmlformats.org/drawingml/2006/chartDrawing">
    <cdr:from>
      <cdr:x>0</cdr:x>
      <cdr:y>0.89991</cdr:y>
    </cdr:from>
    <cdr:to>
      <cdr:x>0.4902</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434345"/>
          <a:ext cx="3333750" cy="270755"/>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0.73603</cdr:y>
    </cdr:from>
    <cdr:to>
      <cdr:x>0.95627</cdr:x>
      <cdr:y>1</cdr:y>
    </cdr:to>
    <cdr:sp macro="" textlink="">
      <cdr:nvSpPr>
        <cdr:cNvPr id="2" name="TextBox 1"/>
        <cdr:cNvSpPr txBox="1"/>
      </cdr:nvSpPr>
      <cdr:spPr>
        <a:xfrm xmlns:a="http://schemas.openxmlformats.org/drawingml/2006/main">
          <a:off x="0" y="1721923"/>
          <a:ext cx="4973833" cy="61751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endParaRPr lang="en-US" sz="1000" i="1" baseline="0">
            <a:solidFill>
              <a:schemeClr val="tx1">
                <a:lumMod val="50000"/>
                <a:lumOff val="50000"/>
              </a:schemeClr>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0.00748</cdr:x>
      <cdr:y>0.01645</cdr:y>
    </cdr:from>
    <cdr:to>
      <cdr:x>0.05516</cdr:x>
      <cdr:y>0.3913</cdr:y>
    </cdr:to>
    <cdr:sp macro="" textlink="">
      <cdr:nvSpPr>
        <cdr:cNvPr id="4" name="TextBox 1"/>
        <cdr:cNvSpPr txBox="1"/>
      </cdr:nvSpPr>
      <cdr:spPr>
        <a:xfrm xmlns:a="http://schemas.openxmlformats.org/drawingml/2006/main" rot="16200000">
          <a:off x="-365919" y="467519"/>
          <a:ext cx="1157288" cy="323850"/>
        </a:xfrm>
        <a:prstGeom xmlns:a="http://schemas.openxmlformats.org/drawingml/2006/main" prst="rect">
          <a:avLst/>
        </a:prstGeom>
      </cdr:spPr>
    </cdr:sp>
  </cdr:relSizeAnchor>
  <cdr:relSizeAnchor xmlns:cdr="http://schemas.openxmlformats.org/drawingml/2006/chartDrawing">
    <cdr:from>
      <cdr:x>0.0035</cdr:x>
      <cdr:y>0.37802</cdr:y>
    </cdr:from>
    <cdr:to>
      <cdr:x>0.05117</cdr:x>
      <cdr:y>0.75286</cdr:y>
    </cdr:to>
    <cdr:sp macro="" textlink="">
      <cdr:nvSpPr>
        <cdr:cNvPr id="5" name="TextBox 1"/>
        <cdr:cNvSpPr txBox="1"/>
      </cdr:nvSpPr>
      <cdr:spPr>
        <a:xfrm xmlns:a="http://schemas.openxmlformats.org/drawingml/2006/main" rot="16200000">
          <a:off x="-392969" y="1583800"/>
          <a:ext cx="1157288" cy="323850"/>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0.53951</cdr:x>
      <cdr:y>0.25727</cdr:y>
    </cdr:from>
    <cdr:to>
      <cdr:x>0.78884</cdr:x>
      <cdr:y>0.55461</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8701" y="846138"/>
          <a:ext cx="1291932" cy="97428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3.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0.56282</cdr:x>
      <cdr:y>0.30186</cdr:y>
    </cdr:from>
    <cdr:to>
      <cdr:x>0.81215</cdr:x>
      <cdr:y>0.5992</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910967" y="952282"/>
          <a:ext cx="1289554" cy="938012"/>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4.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0.53951</cdr:x>
      <cdr:y>0.25727</cdr:y>
    </cdr:from>
    <cdr:to>
      <cdr:x>0.78884</cdr:x>
      <cdr:y>0.55461</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8701" y="846138"/>
          <a:ext cx="1291932" cy="97428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5.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0.53951</cdr:x>
      <cdr:y>0.25727</cdr:y>
    </cdr:from>
    <cdr:to>
      <cdr:x>0.78884</cdr:x>
      <cdr:y>0.55461</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8701" y="846138"/>
          <a:ext cx="1291932" cy="97428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6.xml><?xml version="1.0" encoding="utf-8"?>
<c:userShapes xmlns:c="http://schemas.openxmlformats.org/drawingml/2006/chart">
  <cdr:relSizeAnchor xmlns:cdr="http://schemas.openxmlformats.org/drawingml/2006/chartDrawing">
    <cdr:from>
      <cdr:x>0.36036</cdr:x>
      <cdr:y>0.26212</cdr:y>
    </cdr:from>
    <cdr:to>
      <cdr:x>0.60332</cdr:x>
      <cdr:y>0.55461</cdr:y>
    </cdr:to>
    <cdr:pic>
      <cdr:nvPicPr>
        <cdr:cNvPr id="13313" name="Picture 1" descr="Male" titl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0442" y="862044"/>
          <a:ext cx="1258871" cy="95838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alpha val="50000"/>
                </a:srgbClr>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dr:relSizeAnchor xmlns:cdr="http://schemas.openxmlformats.org/drawingml/2006/chartDrawing">
    <cdr:from>
      <cdr:x>0.53951</cdr:x>
      <cdr:y>0.25727</cdr:y>
    </cdr:from>
    <cdr:to>
      <cdr:x>0.78884</cdr:x>
      <cdr:y>0.55461</cdr:y>
    </cdr:to>
    <cdr:pic>
      <cdr:nvPicPr>
        <cdr:cNvPr id="13314" name="Picture 2" descr="Female" title="Female"/>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98701" y="846138"/>
          <a:ext cx="1291932" cy="97428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drawings/drawing7.xml><?xml version="1.0" encoding="utf-8"?>
<c:userShapes xmlns:c="http://schemas.openxmlformats.org/drawingml/2006/chart">
  <cdr:relSizeAnchor xmlns:cdr="http://schemas.openxmlformats.org/drawingml/2006/chartDrawing">
    <cdr:from>
      <cdr:x>0.19615</cdr:x>
      <cdr:y>0.15558</cdr:y>
    </cdr:from>
    <cdr:to>
      <cdr:x>0.43171</cdr:x>
      <cdr:y>0.28282</cdr:y>
    </cdr:to>
    <cdr:sp macro="" textlink="">
      <cdr:nvSpPr>
        <cdr:cNvPr id="2" name="TextBox 1"/>
        <cdr:cNvSpPr txBox="1"/>
      </cdr:nvSpPr>
      <cdr:spPr>
        <a:xfrm xmlns:a="http://schemas.openxmlformats.org/drawingml/2006/main">
          <a:off x="1103536" y="556982"/>
          <a:ext cx="1325217" cy="455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0.19989</cdr:x>
      <cdr:y>0.23388</cdr:y>
    </cdr:from>
    <cdr:to>
      <cdr:x>0.41631</cdr:x>
      <cdr:y>0.38426</cdr:y>
    </cdr:to>
    <cdr:sp macro="" textlink="">
      <cdr:nvSpPr>
        <cdr:cNvPr id="3" name="TextBox 2"/>
        <cdr:cNvSpPr txBox="1"/>
      </cdr:nvSpPr>
      <cdr:spPr>
        <a:xfrm xmlns:a="http://schemas.openxmlformats.org/drawingml/2006/main">
          <a:off x="1188039" y="867334"/>
          <a:ext cx="1286314" cy="5576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0" dirty="0"/>
            <a:t>Participate in any physical</a:t>
          </a:r>
          <a:r>
            <a:rPr lang="en-US" sz="1200" b="0" baseline="0" dirty="0"/>
            <a:t> activity in past 30 days</a:t>
          </a:r>
          <a:endParaRPr lang="en-US" sz="1200" b="0" dirty="0"/>
        </a:p>
      </cdr:txBody>
    </cdr:sp>
  </cdr:relSizeAnchor>
  <cdr:relSizeAnchor xmlns:cdr="http://schemas.openxmlformats.org/drawingml/2006/chartDrawing">
    <cdr:from>
      <cdr:x>0.41048</cdr:x>
      <cdr:y>0.01627</cdr:y>
    </cdr:from>
    <cdr:to>
      <cdr:x>0.71701</cdr:x>
      <cdr:y>0.18092</cdr:y>
    </cdr:to>
    <cdr:sp macro="" textlink="">
      <cdr:nvSpPr>
        <cdr:cNvPr id="5" name="TextBox 1"/>
        <cdr:cNvSpPr txBox="1"/>
      </cdr:nvSpPr>
      <cdr:spPr>
        <a:xfrm xmlns:a="http://schemas.openxmlformats.org/drawingml/2006/main">
          <a:off x="2666495" y="47120"/>
          <a:ext cx="1991230" cy="4767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0" dirty="0"/>
            <a:t>30+</a:t>
          </a:r>
          <a:r>
            <a:rPr lang="en-US" sz="1200" b="0" baseline="0" dirty="0"/>
            <a:t> minutes of moderate physical activity days in past week</a:t>
          </a:r>
          <a:endParaRPr lang="en-US" sz="1200" b="0" dirty="0"/>
        </a:p>
      </cdr:txBody>
    </cdr:sp>
  </cdr:relSizeAnchor>
  <cdr:relSizeAnchor xmlns:cdr="http://schemas.openxmlformats.org/drawingml/2006/chartDrawing">
    <cdr:from>
      <cdr:x>0.75693</cdr:x>
      <cdr:y>0.12292</cdr:y>
    </cdr:from>
    <cdr:to>
      <cdr:x>0.97335</cdr:x>
      <cdr:y>0.2733</cdr:y>
    </cdr:to>
    <cdr:sp macro="" textlink="">
      <cdr:nvSpPr>
        <cdr:cNvPr id="6" name="TextBox 1"/>
        <cdr:cNvSpPr txBox="1"/>
      </cdr:nvSpPr>
      <cdr:spPr>
        <a:xfrm xmlns:a="http://schemas.openxmlformats.org/drawingml/2006/main">
          <a:off x="4258365" y="440082"/>
          <a:ext cx="1217544" cy="5383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0" dirty="0"/>
            <a:t>20+</a:t>
          </a:r>
          <a:r>
            <a:rPr lang="en-US" sz="1200" b="0" baseline="0" dirty="0"/>
            <a:t> minutes of vigorous physical activity days per week</a:t>
          </a:r>
          <a:endParaRPr lang="en-US" sz="1200" b="0" dirty="0"/>
        </a:p>
      </cdr:txBody>
    </cdr:sp>
  </cdr:relSizeAnchor>
</c:userShapes>
</file>

<file path=word/drawings/drawing8.xml><?xml version="1.0" encoding="utf-8"?>
<c:userShapes xmlns:c="http://schemas.openxmlformats.org/drawingml/2006/chart">
  <cdr:relSizeAnchor xmlns:cdr="http://schemas.openxmlformats.org/drawingml/2006/chartDrawing">
    <cdr:from>
      <cdr:x>0.28248</cdr:x>
      <cdr:y>0.57694</cdr:y>
    </cdr:from>
    <cdr:to>
      <cdr:x>0.3857</cdr:x>
      <cdr:y>0.86496</cdr:y>
    </cdr:to>
    <cdr:sp macro="" textlink="">
      <cdr:nvSpPr>
        <cdr:cNvPr id="2" name="Bent-Up Arrow 1"/>
        <cdr:cNvSpPr/>
      </cdr:nvSpPr>
      <cdr:spPr>
        <a:xfrm xmlns:a="http://schemas.openxmlformats.org/drawingml/2006/main">
          <a:off x="2822021" y="3312867"/>
          <a:ext cx="1031197" cy="1653879"/>
        </a:xfrm>
        <a:prstGeom xmlns:a="http://schemas.openxmlformats.org/drawingml/2006/main" prst="bentUpArrow">
          <a:avLst/>
        </a:prstGeom>
        <a:solidFill xmlns:a="http://schemas.openxmlformats.org/drawingml/2006/main">
          <a:srgbClr val="C0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0.16767</cdr:x>
      <cdr:y>0.54047</cdr:y>
    </cdr:from>
    <cdr:to>
      <cdr:x>0.69184</cdr:x>
      <cdr:y>0.60313</cdr:y>
    </cdr:to>
    <cdr:sp macro="" textlink="">
      <cdr:nvSpPr>
        <cdr:cNvPr id="3" name="TextBox 2"/>
        <cdr:cNvSpPr txBox="1"/>
      </cdr:nvSpPr>
      <cdr:spPr>
        <a:xfrm xmlns:a="http://schemas.openxmlformats.org/drawingml/2006/main">
          <a:off x="1243853" y="2319617"/>
          <a:ext cx="3888441" cy="2689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0.15861</cdr:x>
      <cdr:y>0.51175</cdr:y>
    </cdr:from>
    <cdr:to>
      <cdr:x>0.74622</cdr:x>
      <cdr:y>0.59791</cdr:y>
    </cdr:to>
    <cdr:sp macro="" textlink="">
      <cdr:nvSpPr>
        <cdr:cNvPr id="4" name="TextBox 3"/>
        <cdr:cNvSpPr txBox="1"/>
      </cdr:nvSpPr>
      <cdr:spPr>
        <a:xfrm xmlns:a="http://schemas.openxmlformats.org/drawingml/2006/main">
          <a:off x="1176618" y="2196352"/>
          <a:ext cx="4359088" cy="369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0.091</cdr:x>
      <cdr:y>0.18729</cdr:y>
    </cdr:from>
    <cdr:to>
      <cdr:x>0.71955</cdr:x>
      <cdr:y>0.5458</cdr:y>
    </cdr:to>
    <cdr:sp macro="" textlink="">
      <cdr:nvSpPr>
        <cdr:cNvPr id="5" name="TextBox 4"/>
        <cdr:cNvSpPr txBox="1"/>
      </cdr:nvSpPr>
      <cdr:spPr>
        <a:xfrm xmlns:a="http://schemas.openxmlformats.org/drawingml/2006/main">
          <a:off x="540869" y="656982"/>
          <a:ext cx="3735856" cy="1257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000" b="1" dirty="0"/>
            <a:t>73.7 % of current smokers have stopped</a:t>
          </a:r>
          <a:r>
            <a:rPr lang="en-US" sz="2000" b="1" baseline="0" dirty="0"/>
            <a:t> smoking for one day or longer while trying to quit</a:t>
          </a:r>
          <a:endParaRPr lang="en-US" sz="2000" b="1" dirty="0"/>
        </a:p>
      </cdr:txBody>
    </cdr:sp>
  </cdr:relSizeAnchor>
</c:userShapes>
</file>

<file path=word/drawings/drawing9.xml><?xml version="1.0" encoding="utf-8"?>
<c:userShapes xmlns:c="http://schemas.openxmlformats.org/drawingml/2006/chart">
  <cdr:relSizeAnchor xmlns:cdr="http://schemas.openxmlformats.org/drawingml/2006/chartDrawing">
    <cdr:from>
      <cdr:x>0.00345</cdr:x>
      <cdr:y>0</cdr:y>
    </cdr:from>
    <cdr:to>
      <cdr:x>0.05581</cdr:x>
      <cdr:y>0.87901</cdr:y>
    </cdr:to>
    <cdr:sp macro="" textlink="">
      <cdr:nvSpPr>
        <cdr:cNvPr id="6" name="TextBox 1"/>
        <cdr:cNvSpPr txBox="1"/>
      </cdr:nvSpPr>
      <cdr:spPr>
        <a:xfrm xmlns:a="http://schemas.openxmlformats.org/drawingml/2006/main" rot="16200000">
          <a:off x="-965338" y="988444"/>
          <a:ext cx="2327563" cy="3506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t>Age</a:t>
          </a:r>
          <a:r>
            <a:rPr lang="en-US" sz="1200" b="1" baseline="0"/>
            <a:t> Adjusted Mortality Rate*</a:t>
          </a:r>
          <a:endParaRPr lang="en-US" sz="1200" b="1"/>
        </a:p>
      </cdr:txBody>
    </cdr:sp>
  </cdr:relSizeAnchor>
  <cdr:relSizeAnchor xmlns:cdr="http://schemas.openxmlformats.org/drawingml/2006/chartDrawing">
    <cdr:from>
      <cdr:x>0</cdr:x>
      <cdr:y>0.89577</cdr:y>
    </cdr:from>
    <cdr:to>
      <cdr:x>0.48722</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2303709"/>
          <a:ext cx="3267075" cy="26804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3B93A-FBCE-41CF-9BD5-835EF5F8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11099</Words>
  <Characters>63267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Peterson</dc:creator>
  <cp:lastModifiedBy>Sandy Tubbs</cp:lastModifiedBy>
  <cp:revision>2</cp:revision>
  <cp:lastPrinted>2017-06-09T14:53:00Z</cp:lastPrinted>
  <dcterms:created xsi:type="dcterms:W3CDTF">2017-06-12T20:34:00Z</dcterms:created>
  <dcterms:modified xsi:type="dcterms:W3CDTF">2017-06-12T20:34:00Z</dcterms:modified>
</cp:coreProperties>
</file>