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0003" w14:textId="77777777" w:rsidR="007D0D17" w:rsidRDefault="007D0D17" w:rsidP="007D0D17">
      <w:pPr>
        <w:spacing w:before="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38C6A60B" w14:textId="77777777" w:rsidR="007D0D17" w:rsidRDefault="007D0D17" w:rsidP="007D0D17">
      <w:pPr>
        <w:spacing w:before="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D867445" w14:textId="42D7C1FB" w:rsidR="007D0D17" w:rsidRDefault="007D0D17" w:rsidP="007D0D17">
      <w:pPr>
        <w:spacing w:before="6"/>
        <w:ind w:firstLine="72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3FC417D" wp14:editId="7F69134D">
            <wp:extent cx="2552700" cy="682847"/>
            <wp:effectExtent l="0" t="0" r="0" b="3175"/>
            <wp:docPr id="65" name="Picture 6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NACCHO_color_pms3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54" cy="71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008DF8B8" wp14:editId="102C1B21">
            <wp:extent cx="2054130" cy="739751"/>
            <wp:effectExtent l="0" t="0" r="3810" b="3810"/>
            <wp:docPr id="67" name="Picture 6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esri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532" cy="77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ab/>
      </w:r>
    </w:p>
    <w:p w14:paraId="6D762D8D" w14:textId="77777777" w:rsidR="007D0D17" w:rsidRDefault="007D0D17" w:rsidP="007D0D17">
      <w:pPr>
        <w:spacing w:before="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A8E2361" w14:textId="77777777" w:rsidR="007D0D17" w:rsidRDefault="007D0D17" w:rsidP="007D0D17">
      <w:pPr>
        <w:spacing w:before="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59CC403" w14:textId="2441ACF7" w:rsidR="007C7EFE" w:rsidRPr="007C7EFE" w:rsidRDefault="00007FB2" w:rsidP="007C7EFE">
      <w:pPr>
        <w:spacing w:before="6"/>
        <w:rPr>
          <w:rFonts w:ascii="Arial" w:eastAsia="Times New Roman" w:hAnsi="Arial" w:cs="Arial"/>
          <w:noProof/>
          <w:sz w:val="28"/>
          <w:szCs w:val="28"/>
        </w:rPr>
      </w:pPr>
      <w:r w:rsidRPr="00007FB2">
        <w:rPr>
          <w:rFonts w:ascii="Arial" w:eastAsia="Times New Roman" w:hAnsi="Arial" w:cs="Arial"/>
          <w:noProof/>
          <w:sz w:val="28"/>
          <w:szCs w:val="28"/>
        </w:rPr>
        <w:t xml:space="preserve">As the situation surrounding the coronavirus disease 2019 (COVID-19) continues to evolve, Esri is supporting our </w:t>
      </w:r>
      <w:r>
        <w:rPr>
          <w:rFonts w:ascii="Arial" w:eastAsia="Times New Roman" w:hAnsi="Arial" w:cs="Arial"/>
          <w:noProof/>
          <w:sz w:val="28"/>
          <w:szCs w:val="28"/>
        </w:rPr>
        <w:t>members</w:t>
      </w:r>
      <w:r w:rsidRPr="00007FB2">
        <w:rPr>
          <w:rFonts w:ascii="Arial" w:eastAsia="Times New Roman" w:hAnsi="Arial" w:cs="Arial"/>
          <w:noProof/>
          <w:sz w:val="28"/>
          <w:szCs w:val="28"/>
        </w:rPr>
        <w:t xml:space="preserve"> and the community at large with software, services, and materials that are helping people understand, manage, and communicate the impact of the outbreak. Esri is providing these resources </w:t>
      </w:r>
      <w:r w:rsidRPr="00007FB2">
        <w:rPr>
          <w:rFonts w:ascii="Arial" w:eastAsia="Times New Roman" w:hAnsi="Arial" w:cs="Arial"/>
          <w:b/>
          <w:bCs/>
          <w:noProof/>
          <w:sz w:val="28"/>
          <w:szCs w:val="28"/>
        </w:rPr>
        <w:t>AT NO COST</w:t>
      </w:r>
      <w:r w:rsidRPr="00007FB2">
        <w:rPr>
          <w:rFonts w:ascii="Arial" w:eastAsia="Times New Roman" w:hAnsi="Arial" w:cs="Arial"/>
          <w:noProof/>
          <w:sz w:val="28"/>
          <w:szCs w:val="28"/>
        </w:rPr>
        <w:t xml:space="preserve"> to help organizations prepare, manage, and deliver an effective response to COVID</w:t>
      </w:r>
      <w:r w:rsidRPr="00007FB2">
        <w:rPr>
          <w:rFonts w:ascii="Arial" w:eastAsia="Times New Roman" w:hAnsi="Arial" w:cs="Arial"/>
          <w:noProof/>
          <w:sz w:val="28"/>
          <w:szCs w:val="28"/>
        </w:rPr>
        <w:noBreakHyphen/>
        <w:t>19.</w:t>
      </w:r>
      <w:r w:rsidR="007C7EFE">
        <w:rPr>
          <w:rFonts w:ascii="Arial" w:eastAsia="Times New Roman" w:hAnsi="Arial" w:cs="Arial"/>
          <w:noProof/>
          <w:sz w:val="28"/>
          <w:szCs w:val="28"/>
        </w:rPr>
        <w:t xml:space="preserve">  For more information, please visit </w:t>
      </w:r>
      <w:hyperlink r:id="rId7" w:history="1">
        <w:r w:rsidR="007C7EFE" w:rsidRPr="007C7EFE">
          <w:rPr>
            <w:rStyle w:val="Hyperlink"/>
            <w:rFonts w:ascii="Arial" w:eastAsia="Times New Roman" w:hAnsi="Arial" w:cs="Arial"/>
            <w:b/>
            <w:bCs/>
            <w:noProof/>
            <w:sz w:val="28"/>
            <w:szCs w:val="28"/>
          </w:rPr>
          <w:t>https://www.esri.com/disaster</w:t>
        </w:r>
      </w:hyperlink>
      <w:r w:rsidR="007C7EFE" w:rsidRPr="007C7EFE">
        <w:rPr>
          <w:rFonts w:ascii="Arial" w:eastAsia="Times New Roman" w:hAnsi="Arial" w:cs="Arial"/>
          <w:noProof/>
          <w:sz w:val="28"/>
          <w:szCs w:val="28"/>
        </w:rPr>
        <w:t xml:space="preserve">, </w:t>
      </w:r>
      <w:r w:rsidR="007C7EFE">
        <w:rPr>
          <w:rFonts w:ascii="Arial" w:eastAsia="Times New Roman" w:hAnsi="Arial" w:cs="Arial"/>
          <w:noProof/>
          <w:sz w:val="28"/>
          <w:szCs w:val="28"/>
        </w:rPr>
        <w:t>or contact Samantha Williams at 703.</w:t>
      </w:r>
      <w:r w:rsidR="007C7EFE" w:rsidRPr="007C7EFE">
        <w:rPr>
          <w:rFonts w:ascii="Arial" w:eastAsia="Times New Roman" w:hAnsi="Arial" w:cs="Arial"/>
          <w:noProof/>
          <w:sz w:val="28"/>
          <w:szCs w:val="28"/>
        </w:rPr>
        <w:t>506</w:t>
      </w:r>
      <w:r w:rsidR="007C7EFE">
        <w:rPr>
          <w:rFonts w:ascii="Arial" w:eastAsia="Times New Roman" w:hAnsi="Arial" w:cs="Arial"/>
          <w:noProof/>
          <w:sz w:val="28"/>
          <w:szCs w:val="28"/>
        </w:rPr>
        <w:t>.</w:t>
      </w:r>
      <w:r w:rsidR="007C7EFE" w:rsidRPr="007C7EFE">
        <w:rPr>
          <w:rFonts w:ascii="Arial" w:eastAsia="Times New Roman" w:hAnsi="Arial" w:cs="Arial"/>
          <w:noProof/>
          <w:sz w:val="28"/>
          <w:szCs w:val="28"/>
        </w:rPr>
        <w:t xml:space="preserve">9515, ext. 6339 </w:t>
      </w:r>
      <w:r w:rsidR="007C7EFE">
        <w:rPr>
          <w:rFonts w:ascii="Arial" w:eastAsia="Times New Roman" w:hAnsi="Arial" w:cs="Arial"/>
          <w:noProof/>
          <w:sz w:val="28"/>
          <w:szCs w:val="28"/>
        </w:rPr>
        <w:t xml:space="preserve">or </w:t>
      </w:r>
      <w:hyperlink r:id="rId8" w:history="1">
        <w:r w:rsidR="007C7EFE" w:rsidRPr="007C7EFE">
          <w:rPr>
            <w:rStyle w:val="Hyperlink"/>
            <w:rFonts w:ascii="Arial" w:eastAsia="Times New Roman" w:hAnsi="Arial" w:cs="Arial"/>
            <w:b/>
            <w:bCs/>
            <w:noProof/>
            <w:sz w:val="28"/>
            <w:szCs w:val="28"/>
            <w:lang w:val="fr-FR"/>
          </w:rPr>
          <w:t>swilliams@esri.com</w:t>
        </w:r>
      </w:hyperlink>
      <w:r w:rsidR="007C7EFE" w:rsidRPr="007C7EFE">
        <w:rPr>
          <w:rFonts w:ascii="Arial" w:eastAsia="Times New Roman" w:hAnsi="Arial" w:cs="Arial"/>
          <w:b/>
          <w:bCs/>
          <w:noProof/>
          <w:sz w:val="28"/>
          <w:szCs w:val="28"/>
          <w:lang w:val="fr-FR"/>
        </w:rPr>
        <w:t>.</w:t>
      </w:r>
      <w:r w:rsidR="007C7EFE" w:rsidRPr="007C7EFE">
        <w:rPr>
          <w:rFonts w:ascii="Arial" w:eastAsia="Times New Roman" w:hAnsi="Arial" w:cs="Arial"/>
          <w:noProof/>
          <w:sz w:val="28"/>
          <w:szCs w:val="28"/>
        </w:rPr>
        <w:t xml:space="preserve"> </w:t>
      </w:r>
    </w:p>
    <w:p w14:paraId="0463DDFA" w14:textId="0A185F4A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8"/>
          <w:szCs w:val="28"/>
        </w:rPr>
      </w:pPr>
    </w:p>
    <w:p w14:paraId="0647813D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8"/>
          <w:szCs w:val="28"/>
        </w:rPr>
      </w:pPr>
    </w:p>
    <w:p w14:paraId="0035A43B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007FB2">
        <w:rPr>
          <w:rFonts w:ascii="Arial" w:eastAsia="Times New Roman" w:hAnsi="Arial" w:cs="Arial"/>
          <w:b/>
          <w:bCs/>
          <w:noProof/>
          <w:sz w:val="28"/>
          <w:szCs w:val="28"/>
        </w:rPr>
        <w:t>Access the Esri COVID-19 GIS Hub</w:t>
      </w:r>
    </w:p>
    <w:p w14:paraId="24EA1F36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On the </w:t>
      </w:r>
      <w:hyperlink r:id="rId9" w:history="1">
        <w:r w:rsidRPr="00007FB2">
          <w:rPr>
            <w:rStyle w:val="Hyperlink"/>
            <w:rFonts w:ascii="Arial" w:eastAsia="Times New Roman" w:hAnsi="Arial" w:cs="Arial"/>
            <w:b/>
            <w:bCs/>
            <w:noProof/>
            <w:sz w:val="24"/>
            <w:szCs w:val="24"/>
          </w:rPr>
          <w:t>COVID-19 GIS Hub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>, you will find valuable and ready-to-use demographic and other data from authoritative sources, our user community, and business partn</w:t>
      </w:r>
      <w:bookmarkStart w:id="0" w:name="_GoBack"/>
      <w:bookmarkEnd w:id="0"/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ers. We continue to add to our </w:t>
      </w:r>
      <w:hyperlink r:id="rId10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collection of datasets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, </w:t>
      </w:r>
      <w:hyperlink r:id="rId11" w:anchor="content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applications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, </w:t>
      </w:r>
      <w:hyperlink r:id="rId12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lessons and guides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daily and these materials will be updated with new content as it becomes available. </w:t>
      </w:r>
    </w:p>
    <w:p w14:paraId="44BC21CD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4"/>
          <w:szCs w:val="24"/>
        </w:rPr>
      </w:pPr>
    </w:p>
    <w:p w14:paraId="00698CC5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007FB2">
        <w:rPr>
          <w:rFonts w:ascii="Arial" w:eastAsia="Times New Roman" w:hAnsi="Arial" w:cs="Arial"/>
          <w:b/>
          <w:bCs/>
          <w:noProof/>
          <w:sz w:val="28"/>
          <w:szCs w:val="28"/>
        </w:rPr>
        <w:t>Build Your Own Hub Site with a FREE ArcGIS Hub Template</w:t>
      </w:r>
    </w:p>
    <w:p w14:paraId="6C4A0621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To jump-start your own response, we are providing organizations with an </w:t>
      </w:r>
      <w:hyperlink r:id="rId13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ArcGIS Hub Coronavirus Response template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>AT NO COST</w:t>
      </w: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. The template includes examples, materials, and configurations to rapidly deploy your ArcGIS Hub environment. ArcGIS Hub is a framework to build your own website to visualize and analyze the crisis in the context of your organization's or community's population and assets. If a health department does not have ArcGIS Online, </w:t>
      </w: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>Esri will donate ArcGIS Online with ArcGIS Hub Basic for six months</w:t>
      </w: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. To activate your COVID-19 ArcGIS Online and Hub Donation, go to </w:t>
      </w:r>
      <w:hyperlink r:id="rId14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https://www.esri.com/disaster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and click Request Assistance. </w:t>
      </w:r>
    </w:p>
    <w:p w14:paraId="6EDA1267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4"/>
          <w:szCs w:val="24"/>
        </w:rPr>
      </w:pPr>
    </w:p>
    <w:p w14:paraId="3F00EFBB" w14:textId="60E93728" w:rsidR="00007FB2" w:rsidRPr="00007FB2" w:rsidRDefault="00007FB2" w:rsidP="00007FB2">
      <w:pPr>
        <w:spacing w:before="6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>In addition, the following resources may help organizations think through and respond more effectively using GIS and mapping for applications surrounding the pandemic:</w:t>
      </w:r>
    </w:p>
    <w:p w14:paraId="21F9AB95" w14:textId="77777777" w:rsidR="00007FB2" w:rsidRPr="00007FB2" w:rsidRDefault="00007FB2" w:rsidP="00007FB2">
      <w:pPr>
        <w:spacing w:before="6"/>
        <w:rPr>
          <w:rFonts w:ascii="Arial" w:eastAsia="Times New Roman" w:hAnsi="Arial" w:cs="Arial"/>
          <w:noProof/>
          <w:sz w:val="28"/>
          <w:szCs w:val="28"/>
        </w:rPr>
      </w:pPr>
    </w:p>
    <w:p w14:paraId="02383405" w14:textId="77777777" w:rsidR="00007FB2" w:rsidRPr="00007FB2" w:rsidRDefault="00007FB2" w:rsidP="00007FB2">
      <w:pPr>
        <w:numPr>
          <w:ilvl w:val="0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Map cases. </w:t>
      </w:r>
      <w:r w:rsidRPr="00007FB2">
        <w:rPr>
          <w:rFonts w:ascii="Arial" w:eastAsia="Times New Roman" w:hAnsi="Arial" w:cs="Arial"/>
          <w:noProof/>
          <w:sz w:val="24"/>
          <w:szCs w:val="24"/>
        </w:rPr>
        <w:t>To keep track of the evolving situation, the state should map the following information related to cases of COVID-19: confirmed cases, deaths, recovered, existing. We recommend:</w:t>
      </w:r>
    </w:p>
    <w:p w14:paraId="413062D5" w14:textId="77777777" w:rsidR="00007FB2" w:rsidRPr="00007FB2" w:rsidRDefault="007C7EFE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hyperlink r:id="rId15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ArcGIS Dashboard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. Using a state-level dashboard similar to the </w:t>
      </w:r>
      <w:hyperlink r:id="rId16" w:anchor="/bda7594740fd40299423467b48e9ecf6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Johns Hopkins University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 gives leadership timely information for critical decisions, like quarantines, travel restrictions, school closures, etc. </w:t>
      </w:r>
    </w:p>
    <w:p w14:paraId="784C5600" w14:textId="77777777" w:rsidR="00007FB2" w:rsidRPr="00007FB2" w:rsidRDefault="007C7EFE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hyperlink r:id="rId17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Storymap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. Good public information is critical for risk communication and behavior change (good hygiene, social distancing recommendations, etc.). The </w:t>
      </w:r>
      <w:hyperlink r:id="rId18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State of Kentucky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 created a nice example. </w:t>
      </w:r>
    </w:p>
    <w:p w14:paraId="238C3FED" w14:textId="77777777" w:rsidR="00007FB2" w:rsidRPr="00007FB2" w:rsidRDefault="007C7EFE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hyperlink r:id="rId19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ArcGIS Hub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 is another option for either/both internal use or external facing to ensure key stakeholders have the tools and information they need to respond. </w:t>
      </w:r>
    </w:p>
    <w:p w14:paraId="567D3FBD" w14:textId="77777777" w:rsidR="00007FB2" w:rsidRPr="00007FB2" w:rsidRDefault="00007FB2" w:rsidP="00007FB2">
      <w:pPr>
        <w:numPr>
          <w:ilvl w:val="0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>Map spread.</w:t>
      </w: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It is important to look at the speed and geographic spread of the disease as well. Doing this spatially will complement a traditional epi curve showing case counts per day.</w:t>
      </w:r>
    </w:p>
    <w:p w14:paraId="1E030AEE" w14:textId="77777777" w:rsidR="00007FB2" w:rsidRPr="00007FB2" w:rsidRDefault="00007FB2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Deploy </w:t>
      </w:r>
      <w:hyperlink r:id="rId20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ArcGIS Insights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for dynamic data exploration.</w:t>
      </w:r>
    </w:p>
    <w:p w14:paraId="75C71B0F" w14:textId="77777777" w:rsidR="00007FB2" w:rsidRPr="00007FB2" w:rsidRDefault="00007FB2" w:rsidP="00007FB2">
      <w:pPr>
        <w:numPr>
          <w:ilvl w:val="0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>Map vulnerable populations and places.</w:t>
      </w: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Some people are more vulnerable than others and it may be especially challenging to maintain social distancing as a protective measure. Mapping these communities allows decision-makers to tailor messaging and interventions to improve equity and population health outcomes.</w:t>
      </w:r>
    </w:p>
    <w:p w14:paraId="7265FD0A" w14:textId="77777777" w:rsidR="00007FB2" w:rsidRPr="00007FB2" w:rsidRDefault="007C7EFE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hyperlink r:id="rId21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Coronavirus Impact Planning Report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 (in </w:t>
      </w:r>
      <w:hyperlink r:id="rId22" w:history="1">
        <w:r w:rsidR="00007FB2"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Community Analyst</w:t>
        </w:r>
      </w:hyperlink>
      <w:r w:rsidR="00007FB2" w:rsidRPr="00007FB2">
        <w:rPr>
          <w:rFonts w:ascii="Arial" w:eastAsia="Times New Roman" w:hAnsi="Arial" w:cs="Arial"/>
          <w:noProof/>
          <w:sz w:val="24"/>
          <w:szCs w:val="24"/>
        </w:rPr>
        <w:t xml:space="preserve"> and Business Analyst)</w:t>
      </w:r>
    </w:p>
    <w:p w14:paraId="4DA96CBB" w14:textId="77777777" w:rsidR="00007FB2" w:rsidRPr="00007FB2" w:rsidRDefault="00007FB2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>Map older adults (age 65+) and senior living communities and assisted living centers and map population density.</w:t>
      </w:r>
    </w:p>
    <w:p w14:paraId="77BD24C3" w14:textId="77777777" w:rsidR="00007FB2" w:rsidRPr="00007FB2" w:rsidRDefault="00007FB2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Use the </w:t>
      </w:r>
      <w:hyperlink r:id="rId23" w:anchor="d=2&amp;q=social%20vulnerability%20index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CDC’s Social Vulnerability Index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for 16 different types of vulnerability in the population at a census tract level.</w:t>
      </w:r>
    </w:p>
    <w:p w14:paraId="2E383D15" w14:textId="77777777" w:rsidR="00007FB2" w:rsidRPr="00007FB2" w:rsidRDefault="00007FB2" w:rsidP="00007FB2">
      <w:pPr>
        <w:numPr>
          <w:ilvl w:val="0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b/>
          <w:bCs/>
          <w:noProof/>
          <w:sz w:val="24"/>
          <w:szCs w:val="24"/>
        </w:rPr>
        <w:t>Map capacity</w:t>
      </w: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. Knowing how the state can respond to a large-scale outbreak is important. </w:t>
      </w:r>
    </w:p>
    <w:p w14:paraId="3E8C2C5D" w14:textId="77777777" w:rsidR="00007FB2" w:rsidRPr="00007FB2" w:rsidRDefault="00007FB2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>Map hospitals and health systems to include public, private veterans and other facilities)</w:t>
      </w:r>
    </w:p>
    <w:p w14:paraId="228ECE8B" w14:textId="77777777" w:rsidR="00007FB2" w:rsidRPr="00007FB2" w:rsidRDefault="00007FB2" w:rsidP="00007FB2">
      <w:pPr>
        <w:numPr>
          <w:ilvl w:val="2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Where possible, understand bed capacity (licensed beds, staffed beds, bed utilization, critical care beds). </w:t>
      </w:r>
    </w:p>
    <w:p w14:paraId="5B966D68" w14:textId="77777777" w:rsidR="00007FB2" w:rsidRPr="00007FB2" w:rsidRDefault="00007FB2" w:rsidP="00007FB2">
      <w:pPr>
        <w:numPr>
          <w:ilvl w:val="2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Deploy </w:t>
      </w:r>
      <w:hyperlink r:id="rId24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Survey123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to get current (daily?) capacity counts from key facilities.</w:t>
      </w:r>
    </w:p>
    <w:p w14:paraId="34F0107D" w14:textId="77777777" w:rsidR="00007FB2" w:rsidRPr="00007FB2" w:rsidRDefault="00007FB2" w:rsidP="00007FB2">
      <w:pPr>
        <w:numPr>
          <w:ilvl w:val="1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Determine where critical supplies exist for response efforts (IV fluids, oxygen, medicines, personal protective equipment and vaccines when available). </w:t>
      </w:r>
    </w:p>
    <w:p w14:paraId="78B55FDA" w14:textId="77777777" w:rsidR="00007FB2" w:rsidRPr="00007FB2" w:rsidRDefault="00007FB2" w:rsidP="00007FB2">
      <w:pPr>
        <w:numPr>
          <w:ilvl w:val="0"/>
          <w:numId w:val="6"/>
        </w:numPr>
        <w:spacing w:before="6"/>
        <w:rPr>
          <w:rFonts w:ascii="Arial" w:eastAsia="Times New Roman" w:hAnsi="Arial" w:cs="Arial"/>
          <w:noProof/>
          <w:sz w:val="24"/>
          <w:szCs w:val="24"/>
        </w:rPr>
      </w:pPr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Leverage the new </w:t>
      </w:r>
      <w:hyperlink r:id="rId25" w:history="1">
        <w:r w:rsidRPr="00007FB2">
          <w:rPr>
            <w:rStyle w:val="Hyperlink"/>
            <w:rFonts w:ascii="Arial" w:eastAsia="Times New Roman" w:hAnsi="Arial" w:cs="Arial"/>
            <w:noProof/>
            <w:sz w:val="24"/>
            <w:szCs w:val="24"/>
          </w:rPr>
          <w:t>ArcGIS Coronavirus Response Solution</w:t>
        </w:r>
      </w:hyperlink>
      <w:r w:rsidRPr="00007FB2">
        <w:rPr>
          <w:rFonts w:ascii="Arial" w:eastAsia="Times New Roman" w:hAnsi="Arial" w:cs="Arial"/>
          <w:noProof/>
          <w:sz w:val="24"/>
          <w:szCs w:val="24"/>
        </w:rPr>
        <w:t xml:space="preserve"> to inventory testing sites, assist members of the public in locating healthcare clinics, monitor COVID-19 cases and more.</w:t>
      </w:r>
    </w:p>
    <w:p w14:paraId="5EF36443" w14:textId="612B233B" w:rsidR="007D0D17" w:rsidRPr="00007FB2" w:rsidRDefault="007D0D17" w:rsidP="00007FB2">
      <w:pPr>
        <w:spacing w:before="6"/>
        <w:rPr>
          <w:rFonts w:ascii="Arial" w:hAnsi="Arial" w:cs="Arial"/>
          <w:color w:val="3E4543"/>
          <w:sz w:val="24"/>
          <w:szCs w:val="24"/>
        </w:rPr>
      </w:pPr>
    </w:p>
    <w:sectPr w:rsidR="007D0D17" w:rsidRPr="00007FB2" w:rsidSect="00007FB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A0C"/>
    <w:multiLevelType w:val="hybridMultilevel"/>
    <w:tmpl w:val="F0D49E66"/>
    <w:lvl w:ilvl="0" w:tplc="A3E876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D44F2"/>
    <w:multiLevelType w:val="hybridMultilevel"/>
    <w:tmpl w:val="99B6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1BB"/>
    <w:multiLevelType w:val="hybridMultilevel"/>
    <w:tmpl w:val="262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2615"/>
    <w:multiLevelType w:val="hybridMultilevel"/>
    <w:tmpl w:val="D1E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D3391"/>
    <w:multiLevelType w:val="hybridMultilevel"/>
    <w:tmpl w:val="E22AF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DF"/>
    <w:rsid w:val="00007FB2"/>
    <w:rsid w:val="00014D75"/>
    <w:rsid w:val="003203AD"/>
    <w:rsid w:val="004611D5"/>
    <w:rsid w:val="00532B0F"/>
    <w:rsid w:val="007C7EFE"/>
    <w:rsid w:val="007D0D17"/>
    <w:rsid w:val="00A1232C"/>
    <w:rsid w:val="00A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09F5"/>
  <w15:docId w15:val="{7F0826B2-1BEF-4739-AC74-0A81937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2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D0D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0D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0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s@esri.com" TargetMode="External"/><Relationship Id="rId13" Type="http://schemas.openxmlformats.org/officeDocument/2006/relationships/hyperlink" Target="https://www.esri.com/arcgis-blog/products/arcgis-hub/sharing-collaboration/how-to-launch-a-coronavirus-response-website-today/" TargetMode="External"/><Relationship Id="rId18" Type="http://schemas.openxmlformats.org/officeDocument/2006/relationships/hyperlink" Target="https://ky-dph.maps.arcgis.com/apps/MapSeries/index.html?appid=24fb11ce078549548938c24a0e6faa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esri.com/arcgis-blog/products/bus-analyst/business/adding-the-coronavirus-infographic-template-in-business-community-analyst-web/" TargetMode="External"/><Relationship Id="rId7" Type="http://schemas.openxmlformats.org/officeDocument/2006/relationships/hyperlink" Target="https://urldefense.proofpoint.com/v2/url?u=https-3A__gcc01.safelinks.protection.outlook.com_-3Furl-3Dhttps-253A-252F-252Fwww.esri.com-252Fdisaster-253Fadumkts-253Dindustry-5Fsolutions-2526aduse-253Dlocal-5Fstate-2526aduc-253Demail-2526adum-253Dlist-2526utm-5FSource-253Demail-2526aduca-253Dmi-5Fsmart-5Fcommunities-2526aduco-253Dcoronavirus-5Fhub-5Fresources-2526adut-253D950533-2526adupt-253Dawareness-2526sf-5Fid-253D7015x000000iQIAAA2-26data-3D02-257C01-257CGene.Phillips-2540odh.ohio.gov-257C7d114d6e3ed34d926dd608d7ca949cf3-257C50f8fcc494d84f0784eb36ed57c7c8a2-257C0-257C0-257C637200611954750978-26sdata-3Dysm2V08JQhd3NkHSVnp1UBNzd-252Fi08p6OmlwSRAm1XrM-253D-26reserved-3D0&amp;d=DwMGaQ&amp;c=n6-cguzQvX_tUIrZOS_4Og&amp;r=VshkFZBoj53GKpE43QYqtw&amp;m=VQihOPoTU7615q_xKpCIGX9qklIt8QydczWvNOyWNcY&amp;s=zAiZyUm3LTSnnCI24dGip87SsP5D7eakmvuhKlDyYH0&amp;e=" TargetMode="External"/><Relationship Id="rId12" Type="http://schemas.openxmlformats.org/officeDocument/2006/relationships/hyperlink" Target="https://coronavirus-disasterresponse.hub.arcgis.com/pages/resources" TargetMode="External"/><Relationship Id="rId17" Type="http://schemas.openxmlformats.org/officeDocument/2006/relationships/hyperlink" Target="https://storymaps.arcgis.com/" TargetMode="External"/><Relationship Id="rId25" Type="http://schemas.openxmlformats.org/officeDocument/2006/relationships/hyperlink" Target="https://www.esri.com/arcgis-blog/products/arcgis-solutions/national-government/coronavirus-response-solution-releas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gis.maps.arcgis.com/apps/opsdashboard/index.html" TargetMode="External"/><Relationship Id="rId20" Type="http://schemas.openxmlformats.org/officeDocument/2006/relationships/hyperlink" Target="https://www.esri.com/en-us/arcgis/products/arcgis-insights/overvie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disasterresponse.maps.arcgis.com/home/group.html?id=f534dc2a82ee48b0962db6b3201dbd89&amp;view=grid&amp;start=21&amp;num=20" TargetMode="External"/><Relationship Id="rId24" Type="http://schemas.openxmlformats.org/officeDocument/2006/relationships/hyperlink" Target="https://www.esri.com/en-us/arcgis/products/survey123/overvie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.arcgis.com/en/operations-dashboard/" TargetMode="External"/><Relationship Id="rId23" Type="http://schemas.openxmlformats.org/officeDocument/2006/relationships/hyperlink" Target="https://livingatlas.arcgis.com/en/browse/" TargetMode="External"/><Relationship Id="rId10" Type="http://schemas.openxmlformats.org/officeDocument/2006/relationships/hyperlink" Target="https://disasterresponse.maps.arcgis.com/home/group.html?id=e0140dbc514b48b5b90c351740c14639" TargetMode="External"/><Relationship Id="rId19" Type="http://schemas.openxmlformats.org/officeDocument/2006/relationships/hyperlink" Target="https://www.esri.com/en-us/arcgis/products/arcgis-hub/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-resources.esri.com/" TargetMode="External"/><Relationship Id="rId14" Type="http://schemas.openxmlformats.org/officeDocument/2006/relationships/hyperlink" Target="https://www.esri.com/disaster" TargetMode="External"/><Relationship Id="rId22" Type="http://schemas.openxmlformats.org/officeDocument/2006/relationships/hyperlink" Target="https://www.esri.com/en-us/arcgis/products/arcgis-community-analyst/overvi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Catalfamo</dc:creator>
  <cp:lastModifiedBy>Dominic Catalfamo</cp:lastModifiedBy>
  <cp:revision>3</cp:revision>
  <dcterms:created xsi:type="dcterms:W3CDTF">2020-03-23T14:25:00Z</dcterms:created>
  <dcterms:modified xsi:type="dcterms:W3CDTF">2020-03-23T14:37:00Z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2010-04-21T00:00:00Z</vt:filetime>
  </property>
  <property fmtid="{D5CDD505-2E9C-101B-9397-08002B2CF9AE}" pid="3" name="LastSaved">
    <vt:filetime>2019-06-04T00:00:00Z</vt:filetime>
  </property>
</Properties>
</file>