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110"/>
        <w:gridCol w:w="1710"/>
      </w:tblGrid>
      <w:tr w:rsidR="00A67A70" w:rsidTr="00A67A70">
        <w:trPr>
          <w:trHeight w:val="2160"/>
        </w:trPr>
        <w:tc>
          <w:tcPr>
            <w:tcW w:w="1980" w:type="dxa"/>
          </w:tcPr>
          <w:p w:rsidR="00A67A70" w:rsidRDefault="00A67A70" w:rsidP="003F3888">
            <w:pPr>
              <w:jc w:val="center"/>
            </w:pPr>
            <w:r>
              <w:rPr>
                <w:noProof/>
              </w:rPr>
              <w:drawing>
                <wp:inline distT="0" distB="0" distL="0" distR="0" wp14:anchorId="53D9C6CE" wp14:editId="64ACA9F8">
                  <wp:extent cx="1173414" cy="828675"/>
                  <wp:effectExtent l="19050" t="0" r="0" b="0"/>
                  <wp:docPr id="1" name="Picture 7" descr="L:\Logos\Logos\OCHD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ogos\Logos\OCHD logo copy.gif"/>
                          <pic:cNvPicPr>
                            <a:picLocks noChangeAspect="1" noChangeArrowheads="1"/>
                          </pic:cNvPicPr>
                        </pic:nvPicPr>
                        <pic:blipFill>
                          <a:blip r:embed="rId8" cstate="print"/>
                          <a:srcRect/>
                          <a:stretch>
                            <a:fillRect/>
                          </a:stretch>
                        </pic:blipFill>
                        <pic:spPr bwMode="auto">
                          <a:xfrm>
                            <a:off x="0" y="0"/>
                            <a:ext cx="1183251" cy="835622"/>
                          </a:xfrm>
                          <a:prstGeom prst="rect">
                            <a:avLst/>
                          </a:prstGeom>
                          <a:noFill/>
                          <a:ln w="9525">
                            <a:noFill/>
                            <a:miter lim="800000"/>
                            <a:headEnd/>
                            <a:tailEnd/>
                          </a:ln>
                        </pic:spPr>
                      </pic:pic>
                    </a:graphicData>
                  </a:graphic>
                </wp:inline>
              </w:drawing>
            </w:r>
          </w:p>
        </w:tc>
        <w:tc>
          <w:tcPr>
            <w:tcW w:w="7110" w:type="dxa"/>
          </w:tcPr>
          <w:p w:rsidR="00A67A70" w:rsidRDefault="00A67A70" w:rsidP="00F61702">
            <w:pPr>
              <w:jc w:val="center"/>
              <w:rPr>
                <w:rFonts w:ascii="Times New Roman" w:hAnsi="Times New Roman" w:cs="Times New Roman"/>
                <w:b/>
                <w:sz w:val="20"/>
                <w:szCs w:val="20"/>
              </w:rPr>
            </w:pPr>
          </w:p>
          <w:p w:rsidR="00A67A70" w:rsidRDefault="00A67A70" w:rsidP="00A67A70">
            <w:pPr>
              <w:jc w:val="center"/>
              <w:rPr>
                <w:rFonts w:ascii="Times New Roman" w:hAnsi="Times New Roman" w:cs="Times New Roman"/>
                <w:sz w:val="32"/>
                <w:szCs w:val="32"/>
              </w:rPr>
            </w:pPr>
            <w:r w:rsidRPr="00A67A70">
              <w:rPr>
                <w:rFonts w:ascii="Times New Roman" w:hAnsi="Times New Roman" w:cs="Times New Roman"/>
                <w:sz w:val="32"/>
                <w:szCs w:val="32"/>
              </w:rPr>
              <w:t>Ocean County Overdose Fatality Review Program: A Social Autopsy of Overdose Decedents</w:t>
            </w:r>
          </w:p>
          <w:p w:rsidR="005365CF" w:rsidRPr="00A67A70" w:rsidRDefault="005365CF" w:rsidP="00A67A70">
            <w:pPr>
              <w:jc w:val="center"/>
              <w:rPr>
                <w:rFonts w:ascii="Times New Roman" w:hAnsi="Times New Roman" w:cs="Times New Roman"/>
                <w:sz w:val="32"/>
                <w:szCs w:val="32"/>
              </w:rPr>
            </w:pPr>
            <w:r>
              <w:rPr>
                <w:rFonts w:ascii="Times New Roman" w:hAnsi="Times New Roman" w:cs="Times New Roman"/>
                <w:sz w:val="32"/>
                <w:szCs w:val="32"/>
              </w:rPr>
              <w:t>2019-2020</w:t>
            </w:r>
          </w:p>
          <w:p w:rsidR="00A67A70" w:rsidRDefault="00A67A70" w:rsidP="00A67A70">
            <w:pPr>
              <w:jc w:val="center"/>
            </w:pPr>
          </w:p>
        </w:tc>
        <w:tc>
          <w:tcPr>
            <w:tcW w:w="1710" w:type="dxa"/>
          </w:tcPr>
          <w:p w:rsidR="00A67A70" w:rsidRDefault="00A67A70" w:rsidP="003F3888">
            <w:pPr>
              <w:jc w:val="center"/>
            </w:pPr>
            <w:r w:rsidRPr="00383102">
              <w:rPr>
                <w:noProof/>
              </w:rPr>
              <w:drawing>
                <wp:inline distT="0" distB="0" distL="0" distR="0" wp14:anchorId="4F0186D4" wp14:editId="089E56E6">
                  <wp:extent cx="813206" cy="707136"/>
                  <wp:effectExtent l="19050" t="0" r="5944" b="0"/>
                  <wp:docPr id="11" name="Picture 2" descr="PHLogoGrayscaleJPEG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GrayscaleJPEG_000.jpg"/>
                          <pic:cNvPicPr/>
                        </pic:nvPicPr>
                        <pic:blipFill>
                          <a:blip r:embed="rId9" cstate="print"/>
                          <a:stretch>
                            <a:fillRect/>
                          </a:stretch>
                        </pic:blipFill>
                        <pic:spPr>
                          <a:xfrm>
                            <a:off x="0" y="0"/>
                            <a:ext cx="813206" cy="707136"/>
                          </a:xfrm>
                          <a:prstGeom prst="rect">
                            <a:avLst/>
                          </a:prstGeom>
                        </pic:spPr>
                      </pic:pic>
                    </a:graphicData>
                  </a:graphic>
                </wp:inline>
              </w:drawing>
            </w:r>
          </w:p>
        </w:tc>
      </w:tr>
    </w:tbl>
    <w:p w:rsidR="00A67A70" w:rsidRDefault="00A67A70" w:rsidP="00A67A70">
      <w:pPr>
        <w:ind w:firstLine="720"/>
        <w:rPr>
          <w:rFonts w:ascii="Times New Roman" w:hAnsi="Times New Roman" w:cs="Times New Roman"/>
        </w:rPr>
      </w:pPr>
    </w:p>
    <w:p w:rsidR="005365CF" w:rsidRDefault="00A67A70" w:rsidP="00A67A70">
      <w:pPr>
        <w:ind w:firstLine="720"/>
        <w:rPr>
          <w:rFonts w:ascii="Times New Roman" w:hAnsi="Times New Roman" w:cs="Times New Roman"/>
        </w:rPr>
      </w:pPr>
      <w:r>
        <w:rPr>
          <w:rFonts w:ascii="Times New Roman" w:hAnsi="Times New Roman" w:cs="Times New Roman"/>
        </w:rPr>
        <w:t>Ocean County, New Jersey has experienced an unprecedented number of overdose deaths over the past several years</w:t>
      </w:r>
      <w:r w:rsidR="00E31317">
        <w:rPr>
          <w:rFonts w:ascii="Times New Roman" w:hAnsi="Times New Roman" w:cs="Times New Roman"/>
        </w:rPr>
        <w:t>.  In addition, Ocean C</w:t>
      </w:r>
      <w:r>
        <w:rPr>
          <w:rFonts w:ascii="Times New Roman" w:hAnsi="Times New Roman" w:cs="Times New Roman"/>
        </w:rPr>
        <w:t>ounty with the highest admission rate to substance use treatment facilities from 2013-2016.  Because substance abuse has complex biological and social determinants, the Ocean County Health Department (OCHD) partnered on an innovative Overdose Fatality Review</w:t>
      </w:r>
      <w:r w:rsidR="005365CF">
        <w:rPr>
          <w:rFonts w:ascii="Times New Roman" w:hAnsi="Times New Roman" w:cs="Times New Roman"/>
        </w:rPr>
        <w:t xml:space="preserve"> Pilot</w:t>
      </w:r>
      <w:r>
        <w:rPr>
          <w:rFonts w:ascii="Times New Roman" w:hAnsi="Times New Roman" w:cs="Times New Roman"/>
        </w:rPr>
        <w:t xml:space="preserve"> </w:t>
      </w:r>
      <w:r w:rsidR="005365CF">
        <w:rPr>
          <w:rFonts w:ascii="Times New Roman" w:hAnsi="Times New Roman" w:cs="Times New Roman"/>
        </w:rPr>
        <w:t>Program (OFRP</w:t>
      </w:r>
      <w:r>
        <w:rPr>
          <w:rFonts w:ascii="Times New Roman" w:hAnsi="Times New Roman" w:cs="Times New Roman"/>
        </w:rPr>
        <w:t xml:space="preserve">P) in December 2016 to bring community partners together to conduct a social autopsy on overdose decedents.  </w:t>
      </w:r>
      <w:r w:rsidR="005365CF">
        <w:rPr>
          <w:rFonts w:ascii="Times New Roman" w:hAnsi="Times New Roman" w:cs="Times New Roman"/>
        </w:rPr>
        <w:t xml:space="preserve"> The pilot period of the fatality review officially began in 2017 as partnerships </w:t>
      </w:r>
      <w:proofErr w:type="gramStart"/>
      <w:r w:rsidR="005365CF">
        <w:rPr>
          <w:rFonts w:ascii="Times New Roman" w:hAnsi="Times New Roman" w:cs="Times New Roman"/>
        </w:rPr>
        <w:t>were made</w:t>
      </w:r>
      <w:proofErr w:type="gramEnd"/>
      <w:r w:rsidR="00E31317">
        <w:rPr>
          <w:rFonts w:ascii="Times New Roman" w:hAnsi="Times New Roman" w:cs="Times New Roman"/>
        </w:rPr>
        <w:t xml:space="preserve"> with community stakeholders.  Additionally, </w:t>
      </w:r>
      <w:r w:rsidR="005365CF">
        <w:rPr>
          <w:rFonts w:ascii="Times New Roman" w:hAnsi="Times New Roman" w:cs="Times New Roman"/>
        </w:rPr>
        <w:t xml:space="preserve">the </w:t>
      </w:r>
      <w:r w:rsidR="00E31317">
        <w:rPr>
          <w:rFonts w:ascii="Times New Roman" w:hAnsi="Times New Roman" w:cs="Times New Roman"/>
        </w:rPr>
        <w:t>infrastructure</w:t>
      </w:r>
      <w:r w:rsidR="005365CF">
        <w:rPr>
          <w:rFonts w:ascii="Times New Roman" w:hAnsi="Times New Roman" w:cs="Times New Roman"/>
        </w:rPr>
        <w:t xml:space="preserve"> for conducting a social autopsy </w:t>
      </w:r>
      <w:proofErr w:type="gramStart"/>
      <w:r w:rsidR="005365CF">
        <w:rPr>
          <w:rFonts w:ascii="Times New Roman" w:hAnsi="Times New Roman" w:cs="Times New Roman"/>
        </w:rPr>
        <w:t>was de</w:t>
      </w:r>
      <w:bookmarkStart w:id="0" w:name="_GoBack"/>
      <w:bookmarkEnd w:id="0"/>
      <w:r w:rsidR="005365CF">
        <w:rPr>
          <w:rFonts w:ascii="Times New Roman" w:hAnsi="Times New Roman" w:cs="Times New Roman"/>
        </w:rPr>
        <w:t>veloped</w:t>
      </w:r>
      <w:proofErr w:type="gramEnd"/>
      <w:r w:rsidR="005365CF">
        <w:rPr>
          <w:rFonts w:ascii="Times New Roman" w:hAnsi="Times New Roman" w:cs="Times New Roman"/>
        </w:rPr>
        <w:t xml:space="preserve"> for Ocean County</w:t>
      </w:r>
      <w:r w:rsidR="00E31317">
        <w:rPr>
          <w:rFonts w:ascii="Times New Roman" w:hAnsi="Times New Roman" w:cs="Times New Roman"/>
        </w:rPr>
        <w:t xml:space="preserve"> through an executive group</w:t>
      </w:r>
      <w:r w:rsidR="005365CF">
        <w:rPr>
          <w:rFonts w:ascii="Times New Roman" w:hAnsi="Times New Roman" w:cs="Times New Roman"/>
        </w:rPr>
        <w:t>.  In 2018, the OC-OFRP</w:t>
      </w:r>
      <w:r w:rsidR="00E31317">
        <w:rPr>
          <w:rFonts w:ascii="Times New Roman" w:hAnsi="Times New Roman" w:cs="Times New Roman"/>
        </w:rPr>
        <w:t>P began reviewing decedent cases.  The Ocean County Board of Health passed a resolution on September 26, 2018 to continue the program for two additional years (2019-2020) and to remove “pilot” from the name.</w:t>
      </w:r>
    </w:p>
    <w:p w:rsidR="00E31317" w:rsidRDefault="00A67A70" w:rsidP="00A67A70">
      <w:pPr>
        <w:ind w:firstLine="720"/>
        <w:rPr>
          <w:rFonts w:ascii="Times New Roman" w:hAnsi="Times New Roman" w:cs="Times New Roman"/>
        </w:rPr>
      </w:pPr>
      <w:r>
        <w:rPr>
          <w:rFonts w:ascii="Times New Roman" w:hAnsi="Times New Roman" w:cs="Times New Roman"/>
        </w:rPr>
        <w:t xml:space="preserve">The </w:t>
      </w:r>
      <w:r w:rsidR="00E31317">
        <w:rPr>
          <w:rFonts w:ascii="Times New Roman" w:hAnsi="Times New Roman" w:cs="Times New Roman"/>
        </w:rPr>
        <w:t>OC-OFRP for 2019-2020</w:t>
      </w:r>
      <w:r>
        <w:rPr>
          <w:rFonts w:ascii="Times New Roman" w:hAnsi="Times New Roman" w:cs="Times New Roman"/>
        </w:rPr>
        <w:t xml:space="preserve"> </w:t>
      </w:r>
      <w:r w:rsidR="00E31317">
        <w:rPr>
          <w:rFonts w:ascii="Times New Roman" w:hAnsi="Times New Roman" w:cs="Times New Roman"/>
        </w:rPr>
        <w:t>has evolved into a multi-prong approach to combat overdose death in Ocean County.  The first prong is</w:t>
      </w:r>
      <w:r>
        <w:rPr>
          <w:rFonts w:ascii="Times New Roman" w:hAnsi="Times New Roman" w:cs="Times New Roman"/>
        </w:rPr>
        <w:t xml:space="preserve"> comprised of </w:t>
      </w:r>
      <w:r w:rsidR="00E31317">
        <w:rPr>
          <w:rFonts w:ascii="Times New Roman" w:hAnsi="Times New Roman" w:cs="Times New Roman"/>
        </w:rPr>
        <w:t>affiliated partners</w:t>
      </w:r>
      <w:r>
        <w:rPr>
          <w:rFonts w:ascii="Times New Roman" w:hAnsi="Times New Roman" w:cs="Times New Roman"/>
        </w:rPr>
        <w:t xml:space="preserve"> that meet monthly to perform a </w:t>
      </w:r>
      <w:r>
        <w:rPr>
          <w:rFonts w:ascii="Times New Roman" w:hAnsi="Times New Roman" w:cs="Times New Roman"/>
          <w:i/>
        </w:rPr>
        <w:t>social autopsy</w:t>
      </w:r>
      <w:r>
        <w:rPr>
          <w:rFonts w:ascii="Times New Roman" w:hAnsi="Times New Roman" w:cs="Times New Roman"/>
        </w:rPr>
        <w:t xml:space="preserve"> on </w:t>
      </w:r>
      <w:r w:rsidR="00E31317">
        <w:rPr>
          <w:rFonts w:ascii="Times New Roman" w:hAnsi="Times New Roman" w:cs="Times New Roman"/>
        </w:rPr>
        <w:t xml:space="preserve">an </w:t>
      </w:r>
      <w:r>
        <w:rPr>
          <w:rFonts w:ascii="Times New Roman" w:hAnsi="Times New Roman" w:cs="Times New Roman"/>
        </w:rPr>
        <w:t xml:space="preserve">overdose decedent identifying trends not captured in traditional data sets. </w:t>
      </w:r>
      <w:r w:rsidR="00E31317">
        <w:rPr>
          <w:rFonts w:ascii="Times New Roman" w:hAnsi="Times New Roman" w:cs="Times New Roman"/>
        </w:rPr>
        <w:t xml:space="preserve"> </w:t>
      </w:r>
      <w:r>
        <w:rPr>
          <w:rFonts w:ascii="Times New Roman" w:hAnsi="Times New Roman" w:cs="Times New Roman"/>
        </w:rPr>
        <w:t>These monthly meetings speak to the lives of the decedents by strategically reviewing the timeline of their life from potential childhood trauma to onset of use to attempts at recovery and ultimately</w:t>
      </w:r>
      <w:proofErr w:type="gramStart"/>
      <w:r>
        <w:rPr>
          <w:rFonts w:ascii="Times New Roman" w:hAnsi="Times New Roman" w:cs="Times New Roman"/>
        </w:rPr>
        <w:t>;</w:t>
      </w:r>
      <w:proofErr w:type="gramEnd"/>
      <w:r>
        <w:rPr>
          <w:rFonts w:ascii="Times New Roman" w:hAnsi="Times New Roman" w:cs="Times New Roman"/>
        </w:rPr>
        <w:t xml:space="preserve"> what lead to their use of opiates and their untimely overdose death.</w:t>
      </w:r>
      <w:r w:rsidR="008D6CA9">
        <w:rPr>
          <w:rFonts w:ascii="Times New Roman" w:hAnsi="Times New Roman" w:cs="Times New Roman"/>
        </w:rPr>
        <w:t xml:space="preserve">  </w:t>
      </w:r>
      <w:r w:rsidR="00E31317">
        <w:rPr>
          <w:rFonts w:ascii="Times New Roman" w:hAnsi="Times New Roman" w:cs="Times New Roman"/>
        </w:rPr>
        <w:t>As this</w:t>
      </w:r>
      <w:r>
        <w:rPr>
          <w:rFonts w:ascii="Times New Roman" w:hAnsi="Times New Roman" w:cs="Times New Roman"/>
        </w:rPr>
        <w:t xml:space="preserve"> program </w:t>
      </w:r>
      <w:proofErr w:type="gramStart"/>
      <w:r>
        <w:rPr>
          <w:rFonts w:ascii="Times New Roman" w:hAnsi="Times New Roman" w:cs="Times New Roman"/>
        </w:rPr>
        <w:t>is intended</w:t>
      </w:r>
      <w:proofErr w:type="gramEnd"/>
      <w:r>
        <w:rPr>
          <w:rFonts w:ascii="Times New Roman" w:hAnsi="Times New Roman" w:cs="Times New Roman"/>
        </w:rPr>
        <w:t xml:space="preserve"> to address the opiate epidemic, which has been diagnosed as a serious public health emergency, </w:t>
      </w:r>
      <w:r w:rsidR="00E31317">
        <w:rPr>
          <w:rFonts w:ascii="Times New Roman" w:hAnsi="Times New Roman" w:cs="Times New Roman"/>
        </w:rPr>
        <w:t>the second prong approach is a robust data collection using federal, state and local sources.  These two approaches to data collection is an attempt to identify social factors associated with substance use disorder, specifically the use of opiates,</w:t>
      </w:r>
    </w:p>
    <w:p w:rsidR="00A67A70" w:rsidRDefault="00A67A70" w:rsidP="00A67A70">
      <w:pPr>
        <w:ind w:firstLine="720"/>
        <w:rPr>
          <w:rFonts w:ascii="Times New Roman" w:hAnsi="Times New Roman" w:cs="Times New Roman"/>
        </w:rPr>
      </w:pPr>
      <w:r>
        <w:rPr>
          <w:rFonts w:ascii="Times New Roman" w:hAnsi="Times New Roman" w:cs="Times New Roman"/>
        </w:rPr>
        <w:t xml:space="preserve">The goal of the program is to identify programmatic fissures in public systems and social services that, if strengthened, could prevent future deaths.  Through the identification of these missed opportunities in the system of care and subsequent development of targeted prevention, treatment and recovery strategies combined with recommendations on policies and laws this initiative’s </w:t>
      </w:r>
      <w:r w:rsidR="003E22CE">
        <w:rPr>
          <w:rFonts w:ascii="Times New Roman" w:hAnsi="Times New Roman" w:cs="Times New Roman"/>
        </w:rPr>
        <w:t>long-term</w:t>
      </w:r>
      <w:r>
        <w:rPr>
          <w:rFonts w:ascii="Times New Roman" w:hAnsi="Times New Roman" w:cs="Times New Roman"/>
        </w:rPr>
        <w:t xml:space="preserve"> goal is the </w:t>
      </w:r>
      <w:r>
        <w:rPr>
          <w:rFonts w:ascii="Times New Roman" w:hAnsi="Times New Roman" w:cs="Times New Roman"/>
          <w:u w:val="single"/>
        </w:rPr>
        <w:t>prevention of overdose death</w:t>
      </w:r>
      <w:r>
        <w:rPr>
          <w:rFonts w:ascii="Times New Roman" w:hAnsi="Times New Roman" w:cs="Times New Roman"/>
        </w:rPr>
        <w:t>.</w:t>
      </w:r>
      <w:r w:rsidR="00E31317">
        <w:rPr>
          <w:rFonts w:ascii="Times New Roman" w:hAnsi="Times New Roman" w:cs="Times New Roman"/>
        </w:rPr>
        <w:t xml:space="preserve">  The</w:t>
      </w:r>
      <w:r w:rsidR="00597A97">
        <w:rPr>
          <w:rFonts w:ascii="Times New Roman" w:hAnsi="Times New Roman" w:cs="Times New Roman"/>
        </w:rPr>
        <w:t>refore, the</w:t>
      </w:r>
      <w:r w:rsidR="00E31317">
        <w:rPr>
          <w:rFonts w:ascii="Times New Roman" w:hAnsi="Times New Roman" w:cs="Times New Roman"/>
        </w:rPr>
        <w:t xml:space="preserve"> third prong of the OC-OFRPP is attending local meetings to </w:t>
      </w:r>
      <w:r w:rsidR="003E22CE">
        <w:rPr>
          <w:rFonts w:ascii="Times New Roman" w:hAnsi="Times New Roman" w:cs="Times New Roman"/>
        </w:rPr>
        <w:t>discuss opportunities</w:t>
      </w:r>
      <w:r w:rsidR="00E31317">
        <w:rPr>
          <w:rFonts w:ascii="Times New Roman" w:hAnsi="Times New Roman" w:cs="Times New Roman"/>
        </w:rPr>
        <w:t xml:space="preserve"> to make change in the </w:t>
      </w:r>
      <w:proofErr w:type="gramStart"/>
      <w:r w:rsidR="00E31317">
        <w:rPr>
          <w:rFonts w:ascii="Times New Roman" w:hAnsi="Times New Roman" w:cs="Times New Roman"/>
        </w:rPr>
        <w:t>substance use disorder system</w:t>
      </w:r>
      <w:proofErr w:type="gramEnd"/>
      <w:r w:rsidR="00E31317">
        <w:rPr>
          <w:rFonts w:ascii="Times New Roman" w:hAnsi="Times New Roman" w:cs="Times New Roman"/>
        </w:rPr>
        <w:t xml:space="preserve"> of care as well as explore grants to fund these opportunities.</w:t>
      </w:r>
    </w:p>
    <w:p w:rsidR="008D6CA9" w:rsidRPr="008D6CA9" w:rsidRDefault="00A67A70" w:rsidP="005365C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247015</wp:posOffset>
                </wp:positionV>
                <wp:extent cx="1571625" cy="92392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4C" w:rsidRDefault="00F60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5pt;margin-top:19.45pt;width:12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7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" filled="f" stroked="f">
                <v:textbox>
                  <w:txbxContent>
                    <w:p w:rsidR="00F60C4C" w:rsidRDefault="00F60C4C"/>
                  </w:txbxContent>
                </v:textbox>
              </v:shape>
            </w:pict>
          </mc:Fallback>
        </mc:AlternateContent>
      </w:r>
      <w:r w:rsidR="008D6CA9" w:rsidRPr="008D6CA9">
        <w:rPr>
          <w:rFonts w:ascii="Times New Roman" w:hAnsi="Times New Roman" w:cs="Times New Roman"/>
        </w:rPr>
        <w:t xml:space="preserve">The </w:t>
      </w:r>
      <w:r w:rsidR="008D6CA9" w:rsidRPr="008D6CA9">
        <w:rPr>
          <w:rFonts w:ascii="Times New Roman" w:hAnsi="Times New Roman" w:cs="Times New Roman"/>
          <w:b/>
        </w:rPr>
        <w:t>main mission</w:t>
      </w:r>
      <w:r w:rsidR="008D6CA9" w:rsidRPr="008D6CA9">
        <w:rPr>
          <w:rFonts w:ascii="Times New Roman" w:hAnsi="Times New Roman" w:cs="Times New Roman"/>
        </w:rPr>
        <w:t xml:space="preserve"> of the Ocean County Overdose Fatality Review Taskforce is, through the review of overdose fatalities, to identify gaps in public systems and social services that if strengthened, could prevent future deaths from drug overdose</w:t>
      </w:r>
    </w:p>
    <w:p w:rsidR="008D6CA9" w:rsidRPr="008D6CA9" w:rsidRDefault="008D6CA9" w:rsidP="008D6CA9">
      <w:pPr>
        <w:spacing w:after="160" w:line="256" w:lineRule="auto"/>
        <w:rPr>
          <w:rFonts w:ascii="Times New Roman" w:hAnsi="Times New Roman" w:cs="Times New Roman"/>
        </w:rPr>
      </w:pPr>
      <w:r>
        <w:rPr>
          <w:rFonts w:ascii="Times New Roman" w:hAnsi="Times New Roman" w:cs="Times New Roman"/>
        </w:rPr>
        <w:t xml:space="preserve">The </w:t>
      </w:r>
      <w:r w:rsidRPr="008D6CA9">
        <w:rPr>
          <w:rFonts w:ascii="Times New Roman" w:hAnsi="Times New Roman" w:cs="Times New Roman"/>
          <w:b/>
        </w:rPr>
        <w:t>goal</w:t>
      </w:r>
      <w:r w:rsidRPr="008D6CA9">
        <w:rPr>
          <w:rFonts w:ascii="Times New Roman" w:hAnsi="Times New Roman" w:cs="Times New Roman"/>
        </w:rPr>
        <w:t xml:space="preserve"> </w:t>
      </w:r>
      <w:r>
        <w:rPr>
          <w:rFonts w:ascii="Times New Roman" w:hAnsi="Times New Roman" w:cs="Times New Roman"/>
          <w:b/>
          <w:bCs/>
        </w:rPr>
        <w:t xml:space="preserve">is to </w:t>
      </w:r>
      <w:r w:rsidRPr="008D6CA9">
        <w:rPr>
          <w:rFonts w:ascii="Times New Roman" w:hAnsi="Times New Roman" w:cs="Times New Roman"/>
        </w:rPr>
        <w:t xml:space="preserve">reduce overdose fatalities through targeted prevention, treatment and recovery strategies and programs </w:t>
      </w:r>
    </w:p>
    <w:p w:rsidR="008D6CA9" w:rsidRPr="008D6CA9" w:rsidRDefault="008D6CA9" w:rsidP="008D6CA9">
      <w:pPr>
        <w:rPr>
          <w:rFonts w:ascii="Times New Roman" w:hAnsi="Times New Roman" w:cs="Times New Roman"/>
          <w:b/>
        </w:rPr>
      </w:pPr>
      <w:r w:rsidRPr="008D6CA9">
        <w:rPr>
          <w:rFonts w:ascii="Times New Roman" w:hAnsi="Times New Roman" w:cs="Times New Roman"/>
          <w:b/>
        </w:rPr>
        <w:t>Objectives</w:t>
      </w:r>
    </w:p>
    <w:p w:rsidR="008D6CA9" w:rsidRPr="008D6CA9" w:rsidRDefault="008D6CA9" w:rsidP="008D6CA9">
      <w:pPr>
        <w:numPr>
          <w:ilvl w:val="2"/>
          <w:numId w:val="1"/>
        </w:numPr>
        <w:spacing w:after="160" w:line="256" w:lineRule="auto"/>
        <w:rPr>
          <w:rFonts w:ascii="Times New Roman" w:hAnsi="Times New Roman" w:cs="Times New Roman"/>
        </w:rPr>
      </w:pPr>
      <w:r w:rsidRPr="008D6CA9">
        <w:rPr>
          <w:rFonts w:ascii="Times New Roman" w:hAnsi="Times New Roman" w:cs="Times New Roman"/>
        </w:rPr>
        <w:t>Identify missed opportunities for prevention and gaps in system</w:t>
      </w:r>
    </w:p>
    <w:p w:rsidR="008D6CA9" w:rsidRPr="008D6CA9" w:rsidRDefault="008D6CA9" w:rsidP="008D6CA9">
      <w:pPr>
        <w:numPr>
          <w:ilvl w:val="2"/>
          <w:numId w:val="1"/>
        </w:numPr>
        <w:spacing w:after="160" w:line="256" w:lineRule="auto"/>
        <w:rPr>
          <w:rFonts w:ascii="Times New Roman" w:hAnsi="Times New Roman" w:cs="Times New Roman"/>
        </w:rPr>
      </w:pPr>
      <w:r w:rsidRPr="008D6CA9">
        <w:rPr>
          <w:rFonts w:ascii="Times New Roman" w:hAnsi="Times New Roman" w:cs="Times New Roman"/>
        </w:rPr>
        <w:t>Build working relationships between local stakeholders on overdose prevention</w:t>
      </w:r>
    </w:p>
    <w:p w:rsidR="008D6CA9" w:rsidRPr="008D6CA9" w:rsidRDefault="008D6CA9" w:rsidP="008D6CA9">
      <w:pPr>
        <w:numPr>
          <w:ilvl w:val="2"/>
          <w:numId w:val="1"/>
        </w:numPr>
        <w:spacing w:after="160" w:line="256" w:lineRule="auto"/>
        <w:rPr>
          <w:rFonts w:ascii="Times New Roman" w:hAnsi="Times New Roman" w:cs="Times New Roman"/>
        </w:rPr>
      </w:pPr>
      <w:r w:rsidRPr="008D6CA9">
        <w:rPr>
          <w:rFonts w:ascii="Times New Roman" w:hAnsi="Times New Roman" w:cs="Times New Roman"/>
        </w:rPr>
        <w:t>Recommend policies, programs, laws, etc. to prevent OD deaths</w:t>
      </w:r>
    </w:p>
    <w:p w:rsidR="00EA5CC0" w:rsidRPr="00597A97" w:rsidRDefault="008D6CA9" w:rsidP="002B4107">
      <w:pPr>
        <w:numPr>
          <w:ilvl w:val="2"/>
          <w:numId w:val="1"/>
        </w:numPr>
        <w:spacing w:after="160" w:line="256" w:lineRule="auto"/>
        <w:rPr>
          <w:rFonts w:ascii="Times New Roman" w:hAnsi="Times New Roman" w:cs="Times New Roman"/>
        </w:rPr>
      </w:pPr>
      <w:r w:rsidRPr="00597A97">
        <w:rPr>
          <w:rFonts w:ascii="Times New Roman" w:hAnsi="Times New Roman" w:cs="Times New Roman"/>
        </w:rPr>
        <w:t>Inform local overdose &amp; opioid misuse prevention strategy</w:t>
      </w:r>
    </w:p>
    <w:sectPr w:rsidR="00EA5CC0" w:rsidRPr="00597A97" w:rsidSect="00EA5C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02" w:rsidRDefault="00383102" w:rsidP="00383102">
      <w:pPr>
        <w:spacing w:after="0" w:line="240" w:lineRule="auto"/>
      </w:pPr>
      <w:r>
        <w:separator/>
      </w:r>
    </w:p>
  </w:endnote>
  <w:endnote w:type="continuationSeparator" w:id="0">
    <w:p w:rsidR="00383102" w:rsidRDefault="00383102" w:rsidP="0038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02" w:rsidRDefault="00F60C4C" w:rsidP="00F60C4C">
    <w:pPr>
      <w:pStyle w:val="Footer"/>
    </w:pPr>
    <w:r>
      <w:rPr>
        <w:noProof/>
      </w:rPr>
      <w:t xml:space="preserve">                                                                                 </w:t>
    </w:r>
  </w:p>
  <w:p w:rsidR="00383102" w:rsidRDefault="0038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02" w:rsidRDefault="00383102" w:rsidP="00383102">
      <w:pPr>
        <w:spacing w:after="0" w:line="240" w:lineRule="auto"/>
      </w:pPr>
      <w:r>
        <w:separator/>
      </w:r>
    </w:p>
  </w:footnote>
  <w:footnote w:type="continuationSeparator" w:id="0">
    <w:p w:rsidR="00383102" w:rsidRDefault="00383102" w:rsidP="0038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0E5A"/>
    <w:multiLevelType w:val="hybridMultilevel"/>
    <w:tmpl w:val="86BC7BC6"/>
    <w:lvl w:ilvl="0" w:tplc="E2989004">
      <w:start w:val="1"/>
      <w:numFmt w:val="bullet"/>
      <w:lvlText w:val="•"/>
      <w:lvlJc w:val="left"/>
      <w:pPr>
        <w:tabs>
          <w:tab w:val="num" w:pos="720"/>
        </w:tabs>
        <w:ind w:left="720" w:hanging="360"/>
      </w:pPr>
      <w:rPr>
        <w:rFonts w:ascii="Arial" w:hAnsi="Arial" w:hint="default"/>
      </w:rPr>
    </w:lvl>
    <w:lvl w:ilvl="1" w:tplc="9322EDF8" w:tentative="1">
      <w:start w:val="1"/>
      <w:numFmt w:val="bullet"/>
      <w:lvlText w:val="•"/>
      <w:lvlJc w:val="left"/>
      <w:pPr>
        <w:tabs>
          <w:tab w:val="num" w:pos="1440"/>
        </w:tabs>
        <w:ind w:left="1440" w:hanging="360"/>
      </w:pPr>
      <w:rPr>
        <w:rFonts w:ascii="Arial" w:hAnsi="Arial" w:hint="default"/>
      </w:rPr>
    </w:lvl>
    <w:lvl w:ilvl="2" w:tplc="E9B6894A">
      <w:start w:val="1"/>
      <w:numFmt w:val="bullet"/>
      <w:lvlText w:val="•"/>
      <w:lvlJc w:val="left"/>
      <w:pPr>
        <w:tabs>
          <w:tab w:val="num" w:pos="2160"/>
        </w:tabs>
        <w:ind w:left="2160" w:hanging="360"/>
      </w:pPr>
      <w:rPr>
        <w:rFonts w:ascii="Arial" w:hAnsi="Arial" w:hint="default"/>
      </w:rPr>
    </w:lvl>
    <w:lvl w:ilvl="3" w:tplc="4A8EB49A" w:tentative="1">
      <w:start w:val="1"/>
      <w:numFmt w:val="bullet"/>
      <w:lvlText w:val="•"/>
      <w:lvlJc w:val="left"/>
      <w:pPr>
        <w:tabs>
          <w:tab w:val="num" w:pos="2880"/>
        </w:tabs>
        <w:ind w:left="2880" w:hanging="360"/>
      </w:pPr>
      <w:rPr>
        <w:rFonts w:ascii="Arial" w:hAnsi="Arial" w:hint="default"/>
      </w:rPr>
    </w:lvl>
    <w:lvl w:ilvl="4" w:tplc="FC54E91E" w:tentative="1">
      <w:start w:val="1"/>
      <w:numFmt w:val="bullet"/>
      <w:lvlText w:val="•"/>
      <w:lvlJc w:val="left"/>
      <w:pPr>
        <w:tabs>
          <w:tab w:val="num" w:pos="3600"/>
        </w:tabs>
        <w:ind w:left="3600" w:hanging="360"/>
      </w:pPr>
      <w:rPr>
        <w:rFonts w:ascii="Arial" w:hAnsi="Arial" w:hint="default"/>
      </w:rPr>
    </w:lvl>
    <w:lvl w:ilvl="5" w:tplc="EAECE02A" w:tentative="1">
      <w:start w:val="1"/>
      <w:numFmt w:val="bullet"/>
      <w:lvlText w:val="•"/>
      <w:lvlJc w:val="left"/>
      <w:pPr>
        <w:tabs>
          <w:tab w:val="num" w:pos="4320"/>
        </w:tabs>
        <w:ind w:left="4320" w:hanging="360"/>
      </w:pPr>
      <w:rPr>
        <w:rFonts w:ascii="Arial" w:hAnsi="Arial" w:hint="default"/>
      </w:rPr>
    </w:lvl>
    <w:lvl w:ilvl="6" w:tplc="3F90CA24" w:tentative="1">
      <w:start w:val="1"/>
      <w:numFmt w:val="bullet"/>
      <w:lvlText w:val="•"/>
      <w:lvlJc w:val="left"/>
      <w:pPr>
        <w:tabs>
          <w:tab w:val="num" w:pos="5040"/>
        </w:tabs>
        <w:ind w:left="5040" w:hanging="360"/>
      </w:pPr>
      <w:rPr>
        <w:rFonts w:ascii="Arial" w:hAnsi="Arial" w:hint="default"/>
      </w:rPr>
    </w:lvl>
    <w:lvl w:ilvl="7" w:tplc="69C2A22A" w:tentative="1">
      <w:start w:val="1"/>
      <w:numFmt w:val="bullet"/>
      <w:lvlText w:val="•"/>
      <w:lvlJc w:val="left"/>
      <w:pPr>
        <w:tabs>
          <w:tab w:val="num" w:pos="5760"/>
        </w:tabs>
        <w:ind w:left="5760" w:hanging="360"/>
      </w:pPr>
      <w:rPr>
        <w:rFonts w:ascii="Arial" w:hAnsi="Arial" w:hint="default"/>
      </w:rPr>
    </w:lvl>
    <w:lvl w:ilvl="8" w:tplc="B5425A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fill="f" fillcolor="white" stroke="f">
      <v:fill color="white" on="f"/>
      <v:stroke on="f"/>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D5"/>
    <w:rsid w:val="000D3566"/>
    <w:rsid w:val="001A3D76"/>
    <w:rsid w:val="001B7ED1"/>
    <w:rsid w:val="001D2ED6"/>
    <w:rsid w:val="001D61EB"/>
    <w:rsid w:val="0025626A"/>
    <w:rsid w:val="002B63B8"/>
    <w:rsid w:val="00383102"/>
    <w:rsid w:val="003E22CE"/>
    <w:rsid w:val="003F3888"/>
    <w:rsid w:val="004019B4"/>
    <w:rsid w:val="0045061E"/>
    <w:rsid w:val="00525217"/>
    <w:rsid w:val="005365CF"/>
    <w:rsid w:val="00597A97"/>
    <w:rsid w:val="00703C04"/>
    <w:rsid w:val="00724DC0"/>
    <w:rsid w:val="00802A8E"/>
    <w:rsid w:val="008D6CA9"/>
    <w:rsid w:val="00982625"/>
    <w:rsid w:val="00A67A70"/>
    <w:rsid w:val="00AE76B1"/>
    <w:rsid w:val="00C61AFB"/>
    <w:rsid w:val="00CB3010"/>
    <w:rsid w:val="00CD6D00"/>
    <w:rsid w:val="00DD2853"/>
    <w:rsid w:val="00E04FE0"/>
    <w:rsid w:val="00E31317"/>
    <w:rsid w:val="00E6619F"/>
    <w:rsid w:val="00E7396C"/>
    <w:rsid w:val="00EA5CC0"/>
    <w:rsid w:val="00F60C4C"/>
    <w:rsid w:val="00F61702"/>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colormenu v:ext="edit" strokecolor="none [3212]"/>
    </o:shapedefaults>
    <o:shapelayout v:ext="edit">
      <o:idmap v:ext="edit" data="1"/>
    </o:shapelayout>
  </w:shapeDefaults>
  <w:decimalSymbol w:val="."/>
  <w:listSeparator w:val=","/>
  <w15:docId w15:val="{1F444A50-A6DD-4DDD-AD9E-61BEE607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0D5"/>
    <w:rPr>
      <w:rFonts w:ascii="Tahoma" w:hAnsi="Tahoma" w:cs="Tahoma"/>
      <w:sz w:val="16"/>
      <w:szCs w:val="16"/>
    </w:rPr>
  </w:style>
  <w:style w:type="table" w:styleId="TableGrid">
    <w:name w:val="Table Grid"/>
    <w:basedOn w:val="TableNormal"/>
    <w:uiPriority w:val="59"/>
    <w:rsid w:val="00EA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02"/>
  </w:style>
  <w:style w:type="paragraph" w:styleId="Footer">
    <w:name w:val="footer"/>
    <w:basedOn w:val="Normal"/>
    <w:link w:val="FooterChar"/>
    <w:uiPriority w:val="99"/>
    <w:unhideWhenUsed/>
    <w:rsid w:val="0038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F2CDD-6C09-47D0-8CF9-39601C06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kreilly</dc:creator>
  <cp:lastModifiedBy>Kimberly Reilly</cp:lastModifiedBy>
  <cp:revision>3</cp:revision>
  <cp:lastPrinted>2017-02-21T16:01:00Z</cp:lastPrinted>
  <dcterms:created xsi:type="dcterms:W3CDTF">2019-01-03T15:56:00Z</dcterms:created>
  <dcterms:modified xsi:type="dcterms:W3CDTF">2019-01-03T15:57:00Z</dcterms:modified>
</cp:coreProperties>
</file>