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4E5BD" w14:textId="6126B160" w:rsidR="002600D7" w:rsidRDefault="002600D7" w:rsidP="002600D7">
      <w:pPr>
        <w:jc w:val="center"/>
        <w:rPr>
          <w:b/>
        </w:rPr>
      </w:pPr>
      <w:r>
        <w:rPr>
          <w:b/>
        </w:rPr>
        <w:t>Franklin MRC – 0106</w:t>
      </w:r>
    </w:p>
    <w:p w14:paraId="4A13C8D4" w14:textId="3A6CFDC4" w:rsidR="00310BEE" w:rsidRPr="00367184" w:rsidRDefault="002600D7" w:rsidP="00367184">
      <w:pPr>
        <w:jc w:val="center"/>
        <w:rPr>
          <w:b/>
        </w:rPr>
      </w:pPr>
      <w:r>
        <w:rPr>
          <w:b/>
        </w:rPr>
        <w:t xml:space="preserve">Senior Citizen Resilience </w:t>
      </w:r>
      <w:r w:rsidR="00367184" w:rsidRPr="00367184">
        <w:rPr>
          <w:b/>
        </w:rPr>
        <w:t>Mission Set</w:t>
      </w:r>
    </w:p>
    <w:p w14:paraId="5B442974" w14:textId="461BAF7F" w:rsidR="00D3185C" w:rsidRDefault="00D3185C"/>
    <w:p w14:paraId="41249D5B" w14:textId="34B5726B" w:rsidR="000B0789" w:rsidRDefault="000B0789" w:rsidP="000B0789">
      <w:pPr>
        <w:rPr>
          <w:rFonts w:eastAsia="Times New Roman"/>
        </w:rPr>
      </w:pPr>
      <w:r w:rsidRPr="005150DE">
        <w:rPr>
          <w:rFonts w:eastAsia="Times New Roman"/>
          <w:b/>
          <w:bCs/>
        </w:rPr>
        <w:t>Mission Set</w:t>
      </w:r>
      <w:r w:rsidRPr="005150DE">
        <w:rPr>
          <w:rFonts w:eastAsia="Times New Roman"/>
        </w:rPr>
        <w:t xml:space="preserve">: </w:t>
      </w:r>
      <w:bookmarkStart w:id="0" w:name="_Hlk534875653"/>
      <w:r w:rsidRPr="005150DE">
        <w:rPr>
          <w:rFonts w:eastAsia="Times New Roman"/>
        </w:rPr>
        <w:t xml:space="preserve">A scalable response and recovery capability for MRC units and volunteers that is organized, developed, trained, and exercised prior to an emergency or disaster for local, state, and/or regional deployment purposes. </w:t>
      </w:r>
      <w:bookmarkEnd w:id="0"/>
    </w:p>
    <w:p w14:paraId="2FF33BDA" w14:textId="77777777" w:rsidR="000B0789" w:rsidRPr="005150DE" w:rsidRDefault="000B0789" w:rsidP="000B0789">
      <w:pPr>
        <w:rPr>
          <w:rFonts w:eastAsia="Times New Roman"/>
        </w:rPr>
      </w:pPr>
    </w:p>
    <w:p w14:paraId="2F28677D" w14:textId="20195B8B" w:rsidR="00D3185C" w:rsidRPr="002600D7" w:rsidRDefault="00D3185C" w:rsidP="002600D7">
      <w:r w:rsidRPr="000B0789">
        <w:rPr>
          <w:b/>
        </w:rPr>
        <w:t>Introduction:</w:t>
      </w:r>
      <w:r>
        <w:t xml:space="preserve"> </w:t>
      </w:r>
      <w:r w:rsidR="002600D7">
        <w:t xml:space="preserve">Franklin County, Massachusetts is the 12th largest county in Massachusetts. The 724 square miles of Franklin County is the most rural area of the Commonwealth, with an estimated population density of less than 102 people per square mile. 2020 population estimates are over 71,000 with approx. 25% being senior citizens over age 65. Franklin MRC has been supporting the emergency planning and response infrastructure in Western Massachusetts since 2003. Unit leaders have determined that an effective way to foster whole community resilience during and after the COVID-19 </w:t>
      </w:r>
      <w:r w:rsidR="00291598">
        <w:t>pandemic</w:t>
      </w:r>
      <w:r w:rsidR="002600D7">
        <w:t xml:space="preserve"> is to support those who are most vulnerable</w:t>
      </w:r>
      <w:r w:rsidR="00291598">
        <w:t>.</w:t>
      </w:r>
    </w:p>
    <w:p w14:paraId="64456135" w14:textId="54AF18A7" w:rsidR="005150DE" w:rsidRDefault="005150DE"/>
    <w:tbl>
      <w:tblPr>
        <w:tblStyle w:val="TableGrid"/>
        <w:tblW w:w="0" w:type="auto"/>
        <w:tblLook w:val="04A0" w:firstRow="1" w:lastRow="0" w:firstColumn="1" w:lastColumn="0" w:noHBand="0" w:noVBand="1"/>
      </w:tblPr>
      <w:tblGrid>
        <w:gridCol w:w="2337"/>
        <w:gridCol w:w="3868"/>
        <w:gridCol w:w="3145"/>
      </w:tblGrid>
      <w:tr w:rsidR="003464B1" w:rsidRPr="00E152AD" w14:paraId="6155AA74" w14:textId="77777777" w:rsidTr="003A44BF">
        <w:tc>
          <w:tcPr>
            <w:tcW w:w="9350" w:type="dxa"/>
            <w:gridSpan w:val="3"/>
          </w:tcPr>
          <w:p w14:paraId="75BCA6BD" w14:textId="3B522778" w:rsidR="003464B1" w:rsidRPr="00E152AD" w:rsidRDefault="003464B1">
            <w:r w:rsidRPr="00E152AD">
              <w:rPr>
                <w:b/>
              </w:rPr>
              <w:t>Mission Set Title:</w:t>
            </w:r>
            <w:r w:rsidR="0005655B" w:rsidRPr="00E152AD">
              <w:rPr>
                <w:b/>
              </w:rPr>
              <w:t xml:space="preserve"> </w:t>
            </w:r>
            <w:r w:rsidR="002600D7" w:rsidRPr="00E152AD">
              <w:rPr>
                <w:b/>
              </w:rPr>
              <w:t>Senior Citizen Resilience</w:t>
            </w:r>
          </w:p>
        </w:tc>
      </w:tr>
      <w:tr w:rsidR="003464B1" w:rsidRPr="00E152AD" w14:paraId="08BF58DF" w14:textId="77777777" w:rsidTr="003765EA">
        <w:trPr>
          <w:trHeight w:val="1520"/>
        </w:trPr>
        <w:tc>
          <w:tcPr>
            <w:tcW w:w="9350" w:type="dxa"/>
            <w:gridSpan w:val="3"/>
          </w:tcPr>
          <w:p w14:paraId="51166A1B" w14:textId="166B7D8F" w:rsidR="002600D7" w:rsidRPr="00E152AD" w:rsidRDefault="003464B1" w:rsidP="002600D7">
            <w:r w:rsidRPr="00E152AD">
              <w:rPr>
                <w:b/>
              </w:rPr>
              <w:t>Resource Description</w:t>
            </w:r>
            <w:r w:rsidRPr="00E152AD">
              <w:t>:</w:t>
            </w:r>
            <w:r w:rsidR="002600D7" w:rsidRPr="00E152AD">
              <w:t xml:space="preserve"> The COVID-19 pandemic disproportionately targets seniors. Not only are seniors more vulnerable to physical effects of the disease, </w:t>
            </w:r>
            <w:r w:rsidR="00D52210">
              <w:t xml:space="preserve">but </w:t>
            </w:r>
            <w:r w:rsidR="002600D7" w:rsidRPr="00E152AD">
              <w:t>the mental and emotional challenges they experience from new levels of isolation and loneliness are unparalleled. Isolation/loneliness for seniors is recognized as a public health issue associated with the worst health outcomes. COVID</w:t>
            </w:r>
            <w:r w:rsidR="00D52210">
              <w:t>-19</w:t>
            </w:r>
            <w:r w:rsidR="002600D7" w:rsidRPr="00E152AD">
              <w:t xml:space="preserve"> has drastically intensified this issue to crisis proportions. Isolation is associated with increased risk of dementia, heart disease and stroke, while loneliness causes higher rates of depression, anxiety, and suicide.</w:t>
            </w:r>
          </w:p>
          <w:p w14:paraId="41444468" w14:textId="77777777" w:rsidR="002600D7" w:rsidRPr="00E152AD" w:rsidRDefault="002600D7" w:rsidP="002600D7"/>
          <w:p w14:paraId="20CD8DA3" w14:textId="2EDB087C" w:rsidR="003464B1" w:rsidRPr="00E152AD" w:rsidRDefault="002600D7" w:rsidP="002600D7">
            <w:r w:rsidRPr="00E152AD">
              <w:t xml:space="preserve">This </w:t>
            </w:r>
            <w:r w:rsidR="004B015B" w:rsidRPr="00E152AD">
              <w:t xml:space="preserve">Mission Set </w:t>
            </w:r>
            <w:r w:rsidRPr="00E152AD">
              <w:t xml:space="preserve">employs the positive impact of creativity on health and wellbeing. MRC will match volunteers with seniors to guide creative expression-based activities proven to improve quality of life by building a sense of connectedness with self/others, providing a link with the world, and preventing negative physical and mental health consequences of social isolation and loneliness. </w:t>
            </w:r>
          </w:p>
        </w:tc>
      </w:tr>
      <w:tr w:rsidR="00A24D6D" w:rsidRPr="00E152AD" w14:paraId="474919E6" w14:textId="77777777" w:rsidTr="00283DA0">
        <w:tc>
          <w:tcPr>
            <w:tcW w:w="9350" w:type="dxa"/>
            <w:gridSpan w:val="3"/>
          </w:tcPr>
          <w:p w14:paraId="1F597E25" w14:textId="52D5635C" w:rsidR="00A24D6D" w:rsidRPr="00E152AD" w:rsidRDefault="00A24D6D" w:rsidP="00A24D6D">
            <w:pPr>
              <w:jc w:val="center"/>
            </w:pPr>
            <w:r w:rsidRPr="00E152AD">
              <w:t>Resource Components:</w:t>
            </w:r>
          </w:p>
        </w:tc>
      </w:tr>
      <w:tr w:rsidR="003464B1" w:rsidRPr="00E152AD" w14:paraId="2E254471" w14:textId="77777777" w:rsidTr="003464B1">
        <w:tc>
          <w:tcPr>
            <w:tcW w:w="2337" w:type="dxa"/>
            <w:vMerge w:val="restart"/>
          </w:tcPr>
          <w:p w14:paraId="5A7358D5" w14:textId="7188B79A" w:rsidR="003464B1" w:rsidRPr="00E152AD" w:rsidRDefault="003464B1">
            <w:pPr>
              <w:rPr>
                <w:b/>
              </w:rPr>
            </w:pPr>
            <w:r w:rsidRPr="00E152AD">
              <w:rPr>
                <w:b/>
              </w:rPr>
              <w:t>Personnel:</w:t>
            </w:r>
          </w:p>
        </w:tc>
        <w:tc>
          <w:tcPr>
            <w:tcW w:w="3868" w:type="dxa"/>
          </w:tcPr>
          <w:p w14:paraId="50FCF5A7" w14:textId="41EBE05A" w:rsidR="003464B1" w:rsidRPr="00E152AD" w:rsidRDefault="003464B1">
            <w:r w:rsidRPr="00E152AD">
              <w:rPr>
                <w:b/>
              </w:rPr>
              <w:t>Type</w:t>
            </w:r>
            <w:r w:rsidR="00523D12" w:rsidRPr="00E152AD">
              <w:rPr>
                <w:b/>
              </w:rPr>
              <w:t xml:space="preserve">: </w:t>
            </w:r>
            <w:r w:rsidR="00523D12" w:rsidRPr="00E152AD">
              <w:t xml:space="preserve">MRC volunteer with ACTIVE status in </w:t>
            </w:r>
            <w:proofErr w:type="spellStart"/>
            <w:r w:rsidR="00523D12" w:rsidRPr="00E152AD">
              <w:t>MAResponds</w:t>
            </w:r>
            <w:proofErr w:type="spellEnd"/>
            <w:r w:rsidR="00523D12" w:rsidRPr="00E152AD">
              <w:t xml:space="preserve"> state database of </w:t>
            </w:r>
            <w:r w:rsidR="00B57777" w:rsidRPr="00E152AD">
              <w:t>r</w:t>
            </w:r>
            <w:r w:rsidR="00523D12" w:rsidRPr="00E152AD">
              <w:t>esponders</w:t>
            </w:r>
            <w:r w:rsidR="00B57777" w:rsidRPr="00E152AD">
              <w:t>.</w:t>
            </w:r>
          </w:p>
        </w:tc>
        <w:tc>
          <w:tcPr>
            <w:tcW w:w="3145" w:type="dxa"/>
          </w:tcPr>
          <w:p w14:paraId="0EB76EE0" w14:textId="38E46171" w:rsidR="003464B1" w:rsidRPr="00E152AD" w:rsidRDefault="003464B1">
            <w:r w:rsidRPr="00E152AD">
              <w:rPr>
                <w:b/>
              </w:rPr>
              <w:t>Licenses or Certifications Required</w:t>
            </w:r>
            <w:r w:rsidR="00FE41EC" w:rsidRPr="00E152AD">
              <w:rPr>
                <w:b/>
              </w:rPr>
              <w:t>?</w:t>
            </w:r>
            <w:r w:rsidR="00FE41EC" w:rsidRPr="00E152AD">
              <w:t xml:space="preserve"> </w:t>
            </w:r>
            <w:r w:rsidR="00B57777" w:rsidRPr="00E152AD">
              <w:t>No.</w:t>
            </w:r>
          </w:p>
        </w:tc>
      </w:tr>
      <w:tr w:rsidR="00FE41EC" w:rsidRPr="00E152AD" w14:paraId="6C3984F4" w14:textId="77777777" w:rsidTr="00FE41EC">
        <w:trPr>
          <w:trHeight w:val="1862"/>
        </w:trPr>
        <w:tc>
          <w:tcPr>
            <w:tcW w:w="2337" w:type="dxa"/>
            <w:vMerge/>
          </w:tcPr>
          <w:p w14:paraId="59C20E4A" w14:textId="77777777" w:rsidR="00FE41EC" w:rsidRPr="00E152AD" w:rsidRDefault="00FE41EC"/>
        </w:tc>
        <w:tc>
          <w:tcPr>
            <w:tcW w:w="3868" w:type="dxa"/>
          </w:tcPr>
          <w:p w14:paraId="7E7E0E75" w14:textId="77777777" w:rsidR="00B57777" w:rsidRPr="00E152AD" w:rsidRDefault="00B57777">
            <w:r w:rsidRPr="00E152AD">
              <w:t xml:space="preserve">Volunteers are matched one-on-one with a Senior Citizen to engage them through one or more program components: </w:t>
            </w:r>
          </w:p>
          <w:p w14:paraId="2989B237" w14:textId="77777777" w:rsidR="00B57777" w:rsidRPr="00E152AD" w:rsidRDefault="00B57777" w:rsidP="00B57777">
            <w:pPr>
              <w:pStyle w:val="ListParagraph"/>
              <w:numPr>
                <w:ilvl w:val="0"/>
                <w:numId w:val="5"/>
              </w:numPr>
              <w:ind w:left="332" w:hanging="270"/>
            </w:pPr>
            <w:r w:rsidRPr="00E152AD">
              <w:t>Storytelling</w:t>
            </w:r>
          </w:p>
          <w:p w14:paraId="627C4D5D" w14:textId="77777777" w:rsidR="00B57777" w:rsidRPr="00E152AD" w:rsidRDefault="00B57777" w:rsidP="00B57777">
            <w:pPr>
              <w:pStyle w:val="ListParagraph"/>
              <w:numPr>
                <w:ilvl w:val="0"/>
                <w:numId w:val="5"/>
              </w:numPr>
              <w:ind w:left="602" w:hanging="270"/>
            </w:pPr>
            <w:r w:rsidRPr="00E152AD">
              <w:t xml:space="preserve">Reading a story </w:t>
            </w:r>
          </w:p>
          <w:p w14:paraId="52E7D546" w14:textId="130C85F9" w:rsidR="00B57777" w:rsidRPr="00E152AD" w:rsidRDefault="00B57777" w:rsidP="00B57777">
            <w:pPr>
              <w:pStyle w:val="ListParagraph"/>
              <w:numPr>
                <w:ilvl w:val="0"/>
                <w:numId w:val="5"/>
              </w:numPr>
              <w:ind w:left="602" w:hanging="270"/>
            </w:pPr>
            <w:r w:rsidRPr="00E152AD">
              <w:t>Helping to write their story</w:t>
            </w:r>
          </w:p>
          <w:p w14:paraId="03F06E56" w14:textId="77777777" w:rsidR="00B57777" w:rsidRPr="00E152AD" w:rsidRDefault="00B57777" w:rsidP="00B57777">
            <w:pPr>
              <w:pStyle w:val="ListParagraph"/>
              <w:numPr>
                <w:ilvl w:val="0"/>
                <w:numId w:val="5"/>
              </w:numPr>
              <w:ind w:left="332" w:hanging="270"/>
            </w:pPr>
            <w:r w:rsidRPr="00E152AD">
              <w:t xml:space="preserve">Film (the </w:t>
            </w:r>
            <w:proofErr w:type="spellStart"/>
            <w:r w:rsidRPr="00E152AD">
              <w:t>Unlonely</w:t>
            </w:r>
            <w:proofErr w:type="spellEnd"/>
            <w:r w:rsidRPr="00E152AD">
              <w:t xml:space="preserve"> Film Festival)</w:t>
            </w:r>
          </w:p>
          <w:p w14:paraId="7BEF6781" w14:textId="62C03CFC" w:rsidR="00FE41EC" w:rsidRPr="00E152AD" w:rsidRDefault="00B57777" w:rsidP="00B57777">
            <w:pPr>
              <w:pStyle w:val="ListParagraph"/>
              <w:numPr>
                <w:ilvl w:val="0"/>
                <w:numId w:val="5"/>
              </w:numPr>
              <w:ind w:left="332" w:hanging="270"/>
            </w:pPr>
            <w:r w:rsidRPr="00E152AD">
              <w:t>Access to Cultural (helping to connect to online performances, tours, talks, etc.)</w:t>
            </w:r>
          </w:p>
        </w:tc>
        <w:tc>
          <w:tcPr>
            <w:tcW w:w="3145" w:type="dxa"/>
          </w:tcPr>
          <w:p w14:paraId="2370C3BF" w14:textId="0BE2F728" w:rsidR="00EC13C8" w:rsidRPr="00E152AD" w:rsidRDefault="00EC13C8" w:rsidP="00EC13C8">
            <w:pPr>
              <w:pStyle w:val="ListParagraph"/>
              <w:numPr>
                <w:ilvl w:val="0"/>
                <w:numId w:val="5"/>
              </w:numPr>
              <w:ind w:left="246" w:hanging="204"/>
            </w:pPr>
            <w:r w:rsidRPr="00E152AD">
              <w:t xml:space="preserve">Criminal background check </w:t>
            </w:r>
          </w:p>
          <w:p w14:paraId="34B704A2" w14:textId="5A8D5C8A" w:rsidR="00FE41EC" w:rsidRPr="00E152AD" w:rsidRDefault="00EC13C8" w:rsidP="00EC13C8">
            <w:pPr>
              <w:pStyle w:val="ListParagraph"/>
              <w:numPr>
                <w:ilvl w:val="0"/>
                <w:numId w:val="5"/>
              </w:numPr>
              <w:ind w:left="246" w:hanging="204"/>
            </w:pPr>
            <w:r w:rsidRPr="00E152AD">
              <w:t>Confidentiality agreement</w:t>
            </w:r>
          </w:p>
        </w:tc>
      </w:tr>
      <w:tr w:rsidR="00FE41EC" w:rsidRPr="00E152AD" w14:paraId="49EC45E0" w14:textId="77777777" w:rsidTr="005D7DED">
        <w:trPr>
          <w:trHeight w:val="1592"/>
        </w:trPr>
        <w:tc>
          <w:tcPr>
            <w:tcW w:w="2337" w:type="dxa"/>
          </w:tcPr>
          <w:p w14:paraId="536C29DF" w14:textId="2248941D" w:rsidR="00FE41EC" w:rsidRPr="00E152AD" w:rsidRDefault="00FE41EC">
            <w:pPr>
              <w:rPr>
                <w:b/>
              </w:rPr>
            </w:pPr>
            <w:r w:rsidRPr="00E152AD">
              <w:rPr>
                <w:b/>
              </w:rPr>
              <w:lastRenderedPageBreak/>
              <w:t>Training Requirements:</w:t>
            </w:r>
          </w:p>
        </w:tc>
        <w:tc>
          <w:tcPr>
            <w:tcW w:w="7013" w:type="dxa"/>
            <w:gridSpan w:val="2"/>
          </w:tcPr>
          <w:p w14:paraId="4026F9E8" w14:textId="77777777" w:rsidR="005D7DED" w:rsidRPr="00E152AD" w:rsidRDefault="005D7DED" w:rsidP="00F24DD6">
            <w:pPr>
              <w:pStyle w:val="ListParagraph"/>
              <w:numPr>
                <w:ilvl w:val="0"/>
                <w:numId w:val="6"/>
              </w:numPr>
              <w:ind w:left="332" w:hanging="208"/>
            </w:pPr>
            <w:r w:rsidRPr="00E152AD">
              <w:t xml:space="preserve">Orientation to MRC (includes Core Competencies) </w:t>
            </w:r>
          </w:p>
          <w:p w14:paraId="1ACF7BD6" w14:textId="77777777" w:rsidR="005D7DED" w:rsidRPr="00E152AD" w:rsidRDefault="005D7DED" w:rsidP="00F24DD6">
            <w:pPr>
              <w:pStyle w:val="ListParagraph"/>
              <w:numPr>
                <w:ilvl w:val="0"/>
                <w:numId w:val="6"/>
              </w:numPr>
              <w:ind w:left="332" w:hanging="208"/>
            </w:pPr>
            <w:r w:rsidRPr="00E152AD">
              <w:t xml:space="preserve">Psychological First Aid </w:t>
            </w:r>
          </w:p>
          <w:p w14:paraId="2FA894C3" w14:textId="77777777" w:rsidR="005D7DED" w:rsidRPr="00E152AD" w:rsidRDefault="005D7DED" w:rsidP="00F24DD6">
            <w:pPr>
              <w:pStyle w:val="ListParagraph"/>
              <w:numPr>
                <w:ilvl w:val="0"/>
                <w:numId w:val="6"/>
              </w:numPr>
              <w:ind w:left="332" w:hanging="208"/>
            </w:pPr>
            <w:r w:rsidRPr="00E152AD">
              <w:t>HHS/ASPR: Addressing the Needs of Older Adults in Disasters</w:t>
            </w:r>
          </w:p>
          <w:p w14:paraId="3A560835" w14:textId="77777777" w:rsidR="005D7DED" w:rsidRPr="00E152AD" w:rsidRDefault="005D7DED" w:rsidP="00F24DD6">
            <w:pPr>
              <w:pStyle w:val="ListParagraph"/>
              <w:numPr>
                <w:ilvl w:val="0"/>
                <w:numId w:val="6"/>
              </w:numPr>
              <w:ind w:left="332" w:hanging="208"/>
            </w:pPr>
            <w:r w:rsidRPr="00E152AD">
              <w:t xml:space="preserve">Public Health Impact of Loneliness and Social Isolation </w:t>
            </w:r>
          </w:p>
          <w:p w14:paraId="778F2786" w14:textId="45110E15" w:rsidR="00FE41EC" w:rsidRPr="00E152AD" w:rsidRDefault="005D7DED" w:rsidP="00F24DD6">
            <w:pPr>
              <w:pStyle w:val="ListParagraph"/>
              <w:numPr>
                <w:ilvl w:val="0"/>
                <w:numId w:val="6"/>
              </w:numPr>
              <w:ind w:left="332" w:hanging="208"/>
            </w:pPr>
            <w:r w:rsidRPr="00E152AD">
              <w:t>Creativity and Health / Art and Healing</w:t>
            </w:r>
          </w:p>
        </w:tc>
      </w:tr>
      <w:tr w:rsidR="003464B1" w:rsidRPr="00E152AD" w14:paraId="7A58FCD9" w14:textId="77777777" w:rsidTr="00F24DD6">
        <w:trPr>
          <w:trHeight w:val="1889"/>
        </w:trPr>
        <w:tc>
          <w:tcPr>
            <w:tcW w:w="2337" w:type="dxa"/>
          </w:tcPr>
          <w:p w14:paraId="66BF7E50" w14:textId="22F17420" w:rsidR="003464B1" w:rsidRPr="00E152AD" w:rsidRDefault="003464B1">
            <w:pPr>
              <w:rPr>
                <w:b/>
              </w:rPr>
            </w:pPr>
            <w:r w:rsidRPr="00E152AD">
              <w:rPr>
                <w:b/>
              </w:rPr>
              <w:t>Equipment</w:t>
            </w:r>
            <w:r w:rsidR="00FE41EC" w:rsidRPr="00E152AD">
              <w:rPr>
                <w:b/>
              </w:rPr>
              <w:t xml:space="preserve"> Required</w:t>
            </w:r>
            <w:r w:rsidRPr="00E152AD">
              <w:rPr>
                <w:b/>
              </w:rPr>
              <w:t xml:space="preserve">:  </w:t>
            </w:r>
          </w:p>
        </w:tc>
        <w:tc>
          <w:tcPr>
            <w:tcW w:w="7013" w:type="dxa"/>
            <w:gridSpan w:val="2"/>
          </w:tcPr>
          <w:p w14:paraId="10B29F98" w14:textId="77777777" w:rsidR="00F24DD6" w:rsidRPr="00E152AD" w:rsidRDefault="00F24DD6">
            <w:r w:rsidRPr="00E152AD">
              <w:t xml:space="preserve">Computer, tablet, smart </w:t>
            </w:r>
            <w:proofErr w:type="gramStart"/>
            <w:r w:rsidRPr="00E152AD">
              <w:t>phone</w:t>
            </w:r>
            <w:proofErr w:type="gramEnd"/>
            <w:r w:rsidRPr="00E152AD">
              <w:t xml:space="preserve"> or telephone (minimum). In anticipation that this is not the case for some seniors, the mission can be carried out via phone contact and postal service. </w:t>
            </w:r>
          </w:p>
          <w:p w14:paraId="578F29EC" w14:textId="77777777" w:rsidR="00F24DD6" w:rsidRPr="00E152AD" w:rsidRDefault="00F24DD6"/>
          <w:p w14:paraId="5012BFE8" w14:textId="2A4821D2" w:rsidR="003464B1" w:rsidRPr="00E152AD" w:rsidRDefault="00F24DD6">
            <w:r w:rsidRPr="00E152AD">
              <w:t>One program component provides writing journals to seniors to promote some of the exercises.</w:t>
            </w:r>
          </w:p>
        </w:tc>
      </w:tr>
      <w:tr w:rsidR="00FE41EC" w:rsidRPr="00E152AD" w14:paraId="02C7271D" w14:textId="77777777" w:rsidTr="005C0D88">
        <w:trPr>
          <w:trHeight w:val="728"/>
        </w:trPr>
        <w:tc>
          <w:tcPr>
            <w:tcW w:w="2337" w:type="dxa"/>
          </w:tcPr>
          <w:p w14:paraId="3880A2F4" w14:textId="07BF7E8D" w:rsidR="00FE41EC" w:rsidRPr="00E152AD" w:rsidRDefault="005C0D88">
            <w:pPr>
              <w:rPr>
                <w:b/>
              </w:rPr>
            </w:pPr>
            <w:r w:rsidRPr="00E152AD">
              <w:rPr>
                <w:b/>
              </w:rPr>
              <w:t>Deployment Timeline:</w:t>
            </w:r>
          </w:p>
        </w:tc>
        <w:tc>
          <w:tcPr>
            <w:tcW w:w="7013" w:type="dxa"/>
            <w:gridSpan w:val="2"/>
          </w:tcPr>
          <w:p w14:paraId="39F8399E" w14:textId="7A5C24E0" w:rsidR="00FE41EC" w:rsidRPr="00E152AD" w:rsidRDefault="0038751F">
            <w:r w:rsidRPr="00E152AD">
              <w:t>24 hours to one week</w:t>
            </w:r>
          </w:p>
        </w:tc>
      </w:tr>
      <w:tr w:rsidR="003464B1" w:rsidRPr="00E152AD" w14:paraId="6F4E5989" w14:textId="77777777" w:rsidTr="005C0D88">
        <w:trPr>
          <w:trHeight w:val="890"/>
        </w:trPr>
        <w:tc>
          <w:tcPr>
            <w:tcW w:w="2337" w:type="dxa"/>
          </w:tcPr>
          <w:p w14:paraId="02F534DD" w14:textId="149997F6" w:rsidR="003464B1" w:rsidRPr="00E152AD" w:rsidRDefault="005C0D88">
            <w:pPr>
              <w:rPr>
                <w:b/>
              </w:rPr>
            </w:pPr>
            <w:r w:rsidRPr="00E152AD">
              <w:rPr>
                <w:b/>
              </w:rPr>
              <w:t>Requirements for Rotation of Personnel:</w:t>
            </w:r>
          </w:p>
        </w:tc>
        <w:tc>
          <w:tcPr>
            <w:tcW w:w="7013" w:type="dxa"/>
            <w:gridSpan w:val="2"/>
          </w:tcPr>
          <w:p w14:paraId="13F9C02E" w14:textId="1E736DB8" w:rsidR="003464B1" w:rsidRPr="00E152AD" w:rsidRDefault="0038751F">
            <w:r w:rsidRPr="00E152AD">
              <w:t>Because of a limited attention span in some seniors, sessions will be kept to no more than one hour. Once volunteers are match with a senior, the pair will set their own scheduled time to ‘meet’, minimally, once per week.</w:t>
            </w:r>
          </w:p>
        </w:tc>
      </w:tr>
      <w:tr w:rsidR="003464B1" w:rsidRPr="00E152AD" w14:paraId="53E7230A" w14:textId="77777777" w:rsidTr="001958C0">
        <w:trPr>
          <w:trHeight w:val="1430"/>
        </w:trPr>
        <w:tc>
          <w:tcPr>
            <w:tcW w:w="2337" w:type="dxa"/>
          </w:tcPr>
          <w:p w14:paraId="02B3F2B1" w14:textId="41DC62E2" w:rsidR="003464B1" w:rsidRPr="00E152AD" w:rsidRDefault="00AE65B8">
            <w:pPr>
              <w:rPr>
                <w:b/>
              </w:rPr>
            </w:pPr>
            <w:r w:rsidRPr="00E152AD">
              <w:rPr>
                <w:b/>
              </w:rPr>
              <w:t>Pre</w:t>
            </w:r>
            <w:r w:rsidR="001958C0" w:rsidRPr="00E152AD">
              <w:rPr>
                <w:b/>
              </w:rPr>
              <w:t>-Planning Considerations:</w:t>
            </w:r>
          </w:p>
        </w:tc>
        <w:tc>
          <w:tcPr>
            <w:tcW w:w="7013" w:type="dxa"/>
            <w:gridSpan w:val="2"/>
          </w:tcPr>
          <w:p w14:paraId="766FEA04" w14:textId="218D2C3A" w:rsidR="003464B1" w:rsidRPr="00E152AD" w:rsidRDefault="001958C0">
            <w:r w:rsidRPr="00E152AD">
              <w:rPr>
                <w:b/>
              </w:rPr>
              <w:t xml:space="preserve">Space Requirements:  </w:t>
            </w:r>
            <w:r w:rsidR="00E152AD" w:rsidRPr="00E152AD">
              <w:t>Mission set leverages phone and internet contact. No space requirements – however some training and volunteer activities could take place in person in public spaces if safe to do so in the future. In this case amount of space would vary based on activity and size of group gathering.</w:t>
            </w:r>
          </w:p>
          <w:p w14:paraId="4C7231A3" w14:textId="4B586BC2" w:rsidR="001958C0" w:rsidRPr="00E152AD" w:rsidRDefault="001958C0">
            <w:r w:rsidRPr="00E152AD">
              <w:rPr>
                <w:b/>
              </w:rPr>
              <w:t xml:space="preserve">Support Requirements:  </w:t>
            </w:r>
            <w:r w:rsidR="00E152AD" w:rsidRPr="00E152AD">
              <w:t>Telephone connection is a minimum support requirement; internet access is preferred however</w:t>
            </w:r>
            <w:r w:rsidR="00E152AD">
              <w:t>.</w:t>
            </w:r>
          </w:p>
        </w:tc>
      </w:tr>
      <w:tr w:rsidR="0005655B" w:rsidRPr="00E152AD" w14:paraId="250391A5" w14:textId="77777777" w:rsidTr="0005655B">
        <w:trPr>
          <w:trHeight w:val="1322"/>
        </w:trPr>
        <w:tc>
          <w:tcPr>
            <w:tcW w:w="2337" w:type="dxa"/>
          </w:tcPr>
          <w:p w14:paraId="51B87BFC" w14:textId="76056B63" w:rsidR="0005655B" w:rsidRPr="00E152AD" w:rsidRDefault="0005655B">
            <w:pPr>
              <w:rPr>
                <w:b/>
              </w:rPr>
            </w:pPr>
            <w:r w:rsidRPr="00E152AD">
              <w:rPr>
                <w:b/>
              </w:rPr>
              <w:t>Limiting Factors:</w:t>
            </w:r>
          </w:p>
        </w:tc>
        <w:tc>
          <w:tcPr>
            <w:tcW w:w="7013" w:type="dxa"/>
            <w:gridSpan w:val="2"/>
          </w:tcPr>
          <w:p w14:paraId="2D796424" w14:textId="2F9213B5" w:rsidR="0005655B" w:rsidRPr="00E152AD" w:rsidRDefault="002E3C53">
            <w:r w:rsidRPr="002E3C53">
              <w:t>Some seniors may not have access to internet or may lack the ability/comfort-level to utilize the resource. Where appropriate volunteers will work with senior to teach access and promote comfort. Success of initiative depends in part on dedicated collaborate relationships with senior-focused service agencies.</w:t>
            </w:r>
          </w:p>
        </w:tc>
      </w:tr>
    </w:tbl>
    <w:p w14:paraId="5C5195CF" w14:textId="77777777" w:rsidR="005150DE" w:rsidRDefault="005150DE"/>
    <w:p w14:paraId="7C61325A" w14:textId="77777777" w:rsidR="002E3C53" w:rsidRPr="006826DC" w:rsidRDefault="002E3C53">
      <w:pPr>
        <w:rPr>
          <w:b/>
          <w:bCs/>
        </w:rPr>
      </w:pPr>
      <w:r w:rsidRPr="006826DC">
        <w:rPr>
          <w:b/>
          <w:bCs/>
        </w:rPr>
        <w:t xml:space="preserve">Resources: </w:t>
      </w:r>
    </w:p>
    <w:p w14:paraId="585C9740" w14:textId="77777777" w:rsidR="00971B9B" w:rsidRDefault="002E3C53" w:rsidP="002E3C53">
      <w:pPr>
        <w:pStyle w:val="ListParagraph"/>
        <w:numPr>
          <w:ilvl w:val="0"/>
          <w:numId w:val="7"/>
        </w:numPr>
      </w:pPr>
      <w:r w:rsidRPr="002E3C53">
        <w:t xml:space="preserve">FORMS </w:t>
      </w:r>
    </w:p>
    <w:p w14:paraId="148D4A7C" w14:textId="003C1837" w:rsidR="00971B9B" w:rsidRDefault="002E3C53" w:rsidP="00971B9B">
      <w:pPr>
        <w:pStyle w:val="ListParagraph"/>
        <w:numPr>
          <w:ilvl w:val="1"/>
          <w:numId w:val="7"/>
        </w:numPr>
      </w:pPr>
      <w:r w:rsidRPr="002E3C53">
        <w:t xml:space="preserve">Agency Referral Form </w:t>
      </w:r>
      <w:hyperlink r:id="rId10" w:history="1">
        <w:r w:rsidR="00971B9B" w:rsidRPr="00993DF1">
          <w:rPr>
            <w:rStyle w:val="Hyperlink"/>
          </w:rPr>
          <w:t>http://wmmrc.org/wp-content/uploads/2020/10/RCE-Agency-Referral-Form.pdf</w:t>
        </w:r>
      </w:hyperlink>
    </w:p>
    <w:p w14:paraId="6C5E7B59" w14:textId="38953E24" w:rsidR="00971B9B" w:rsidRDefault="002E3C53" w:rsidP="00971B9B">
      <w:pPr>
        <w:pStyle w:val="ListParagraph"/>
        <w:numPr>
          <w:ilvl w:val="1"/>
          <w:numId w:val="7"/>
        </w:numPr>
      </w:pPr>
      <w:r w:rsidRPr="002E3C53">
        <w:t xml:space="preserve">MRC Volunteer Request Form </w:t>
      </w:r>
      <w:hyperlink r:id="rId11" w:history="1">
        <w:r w:rsidR="00971B9B" w:rsidRPr="00993DF1">
          <w:rPr>
            <w:rStyle w:val="Hyperlink"/>
          </w:rPr>
          <w:t>http://wmmrc.org/wp-content/uploads/2020/03/Berkshire-Franklin-Volunteer- Request-Form_012519-2.pdf</w:t>
        </w:r>
      </w:hyperlink>
    </w:p>
    <w:p w14:paraId="4DA61E3C" w14:textId="3E7A1403" w:rsidR="0005655B" w:rsidRDefault="002E3C53" w:rsidP="00971B9B">
      <w:pPr>
        <w:pStyle w:val="ListParagraph"/>
        <w:numPr>
          <w:ilvl w:val="1"/>
          <w:numId w:val="7"/>
        </w:numPr>
      </w:pPr>
      <w:r w:rsidRPr="002E3C53">
        <w:t xml:space="preserve">Confidentiality Agreement </w:t>
      </w:r>
      <w:hyperlink r:id="rId12" w:history="1">
        <w:r w:rsidR="0010181F" w:rsidRPr="00993DF1">
          <w:rPr>
            <w:rStyle w:val="Hyperlink"/>
          </w:rPr>
          <w:t>https://wmmrc.org/confidentiality-agreement-2020/</w:t>
        </w:r>
      </w:hyperlink>
    </w:p>
    <w:p w14:paraId="70C5BB53" w14:textId="77777777" w:rsidR="00971B9B" w:rsidRDefault="0010181F" w:rsidP="002E3C53">
      <w:pPr>
        <w:pStyle w:val="ListParagraph"/>
        <w:numPr>
          <w:ilvl w:val="0"/>
          <w:numId w:val="7"/>
        </w:numPr>
      </w:pPr>
      <w:r w:rsidRPr="0010181F">
        <w:t xml:space="preserve">TRAINING </w:t>
      </w:r>
    </w:p>
    <w:p w14:paraId="534FFCF7" w14:textId="5A0BB75C" w:rsidR="00971B9B" w:rsidRDefault="0010181F" w:rsidP="00971B9B">
      <w:pPr>
        <w:pStyle w:val="ListParagraph"/>
        <w:numPr>
          <w:ilvl w:val="1"/>
          <w:numId w:val="7"/>
        </w:numPr>
      </w:pPr>
      <w:r w:rsidRPr="0010181F">
        <w:t xml:space="preserve">Addressing the Needs of Older Adults in Disasters (HHS/ASPR) </w:t>
      </w:r>
      <w:hyperlink r:id="rId13" w:history="1">
        <w:r w:rsidR="00971B9B" w:rsidRPr="00993DF1">
          <w:rPr>
            <w:rStyle w:val="Hyperlink"/>
          </w:rPr>
          <w:t>https://www.train.org/mrc/course/1093802/</w:t>
        </w:r>
      </w:hyperlink>
    </w:p>
    <w:p w14:paraId="33F88BEE" w14:textId="6683CCA0" w:rsidR="00971B9B" w:rsidRDefault="0010181F" w:rsidP="00971B9B">
      <w:pPr>
        <w:pStyle w:val="ListParagraph"/>
        <w:numPr>
          <w:ilvl w:val="1"/>
          <w:numId w:val="7"/>
        </w:numPr>
      </w:pPr>
      <w:r w:rsidRPr="0010181F">
        <w:t xml:space="preserve">MRC Orientation </w:t>
      </w:r>
      <w:hyperlink r:id="rId14" w:history="1">
        <w:r w:rsidR="00971B9B" w:rsidRPr="00993DF1">
          <w:rPr>
            <w:rStyle w:val="Hyperlink"/>
          </w:rPr>
          <w:t>www.WMMRC.org/training</w:t>
        </w:r>
      </w:hyperlink>
    </w:p>
    <w:p w14:paraId="73DB9022" w14:textId="67EE79A0" w:rsidR="00971B9B" w:rsidRDefault="0010181F" w:rsidP="00971B9B">
      <w:pPr>
        <w:pStyle w:val="ListParagraph"/>
        <w:numPr>
          <w:ilvl w:val="1"/>
          <w:numId w:val="7"/>
        </w:numPr>
      </w:pPr>
      <w:r w:rsidRPr="0010181F">
        <w:t xml:space="preserve">Psychological First Aid </w:t>
      </w:r>
      <w:hyperlink r:id="rId15" w:history="1">
        <w:r w:rsidR="00971B9B" w:rsidRPr="00993DF1">
          <w:rPr>
            <w:rStyle w:val="Hyperlink"/>
          </w:rPr>
          <w:t>www.WMMRC.org/training</w:t>
        </w:r>
      </w:hyperlink>
    </w:p>
    <w:p w14:paraId="0600C56F" w14:textId="2B1C32F4" w:rsidR="0010181F" w:rsidRDefault="0010181F" w:rsidP="00971B9B">
      <w:pPr>
        <w:pStyle w:val="ListParagraph"/>
        <w:numPr>
          <w:ilvl w:val="1"/>
          <w:numId w:val="7"/>
        </w:numPr>
      </w:pPr>
      <w:r w:rsidRPr="0010181F">
        <w:t>Guiding the Storytelling Process</w:t>
      </w:r>
    </w:p>
    <w:p w14:paraId="6632B44E" w14:textId="423C0601" w:rsidR="007E6DB2" w:rsidRDefault="0010181F" w:rsidP="002E3C53">
      <w:pPr>
        <w:pStyle w:val="ListParagraph"/>
        <w:numPr>
          <w:ilvl w:val="0"/>
          <w:numId w:val="7"/>
        </w:numPr>
      </w:pPr>
      <w:r w:rsidRPr="0010181F">
        <w:lastRenderedPageBreak/>
        <w:t>WEBSITES</w:t>
      </w:r>
    </w:p>
    <w:p w14:paraId="705D9CFC" w14:textId="0B0AE50B" w:rsidR="007E6DB2" w:rsidRDefault="0010181F" w:rsidP="007E6DB2">
      <w:pPr>
        <w:pStyle w:val="ListParagraph"/>
        <w:numPr>
          <w:ilvl w:val="1"/>
          <w:numId w:val="7"/>
        </w:numPr>
      </w:pPr>
      <w:r w:rsidRPr="0010181F">
        <w:t xml:space="preserve">Foundation for Art and Healing </w:t>
      </w:r>
      <w:hyperlink r:id="rId16" w:history="1">
        <w:r w:rsidR="007E6DB2" w:rsidRPr="00993DF1">
          <w:rPr>
            <w:rStyle w:val="Hyperlink"/>
          </w:rPr>
          <w:t>https://www.ArtandHealing.org</w:t>
        </w:r>
      </w:hyperlink>
    </w:p>
    <w:p w14:paraId="1F8FE266" w14:textId="200163C7" w:rsidR="0010181F" w:rsidRDefault="0010181F" w:rsidP="007E6DB2">
      <w:pPr>
        <w:pStyle w:val="ListParagraph"/>
        <w:numPr>
          <w:ilvl w:val="1"/>
          <w:numId w:val="7"/>
        </w:numPr>
      </w:pPr>
      <w:proofErr w:type="spellStart"/>
      <w:r w:rsidRPr="0010181F">
        <w:t>Unlonely</w:t>
      </w:r>
      <w:proofErr w:type="spellEnd"/>
      <w:r w:rsidRPr="0010181F">
        <w:t xml:space="preserve"> Film Festival </w:t>
      </w:r>
      <w:hyperlink r:id="rId17" w:history="1">
        <w:r w:rsidRPr="00993DF1">
          <w:rPr>
            <w:rStyle w:val="Hyperlink"/>
          </w:rPr>
          <w:t>https://www.artandhealing.org/best-of-fest/</w:t>
        </w:r>
      </w:hyperlink>
    </w:p>
    <w:p w14:paraId="195DADA0" w14:textId="0735CAC4" w:rsidR="007E6DB2" w:rsidRDefault="0010181F" w:rsidP="002E3C53">
      <w:pPr>
        <w:pStyle w:val="ListParagraph"/>
        <w:numPr>
          <w:ilvl w:val="0"/>
          <w:numId w:val="7"/>
        </w:numPr>
      </w:pPr>
      <w:r w:rsidRPr="0010181F">
        <w:t xml:space="preserve">ARTICLES/VIDEOS/TOOLS </w:t>
      </w:r>
    </w:p>
    <w:p w14:paraId="52D5B343" w14:textId="47223643" w:rsidR="007E6DB2" w:rsidRDefault="0010181F" w:rsidP="007E6DB2">
      <w:pPr>
        <w:pStyle w:val="ListParagraph"/>
        <w:numPr>
          <w:ilvl w:val="1"/>
          <w:numId w:val="7"/>
        </w:numPr>
      </w:pPr>
      <w:r w:rsidRPr="0010181F">
        <w:t xml:space="preserve">Social Isolation and Health study </w:t>
      </w:r>
      <w:hyperlink r:id="rId18" w:history="1">
        <w:r w:rsidR="007E6DB2" w:rsidRPr="00993DF1">
          <w:rPr>
            <w:rStyle w:val="Hyperlink"/>
          </w:rPr>
          <w:t>https://www.healthaffairs.org/do/10.1377/hpb20200622.253235/full/</w:t>
        </w:r>
      </w:hyperlink>
    </w:p>
    <w:p w14:paraId="08495E7C" w14:textId="743B63AD" w:rsidR="007E6DB2" w:rsidRDefault="0010181F" w:rsidP="007E6DB2">
      <w:pPr>
        <w:pStyle w:val="ListParagraph"/>
        <w:numPr>
          <w:ilvl w:val="1"/>
          <w:numId w:val="7"/>
        </w:numPr>
      </w:pPr>
      <w:r w:rsidRPr="0010181F">
        <w:t xml:space="preserve">Social Isolation as a Public Health Risk Factor </w:t>
      </w:r>
      <w:hyperlink r:id="rId19" w:history="1">
        <w:r w:rsidR="007E6DB2" w:rsidRPr="00993DF1">
          <w:rPr>
            <w:rStyle w:val="Hyperlink"/>
          </w:rPr>
          <w:t>https://milkeninstitute.org/videos/loneliness-risk-factor-making-connectionsimprove-health</w:t>
        </w:r>
      </w:hyperlink>
    </w:p>
    <w:p w14:paraId="6313424C" w14:textId="6ABDA3FF" w:rsidR="0010181F" w:rsidRDefault="0010181F" w:rsidP="007E6DB2">
      <w:pPr>
        <w:pStyle w:val="ListParagraph"/>
        <w:numPr>
          <w:ilvl w:val="1"/>
          <w:numId w:val="7"/>
        </w:numPr>
      </w:pPr>
      <w:r w:rsidRPr="0010181F">
        <w:t xml:space="preserve">Life story writing prompts </w:t>
      </w:r>
      <w:hyperlink r:id="rId20" w:history="1">
        <w:r w:rsidR="00971B9B" w:rsidRPr="00993DF1">
          <w:rPr>
            <w:rStyle w:val="Hyperlink"/>
          </w:rPr>
          <w:t>https://vitalifestory.com/storytime-cards/</w:t>
        </w:r>
      </w:hyperlink>
    </w:p>
    <w:p w14:paraId="2E23F809" w14:textId="77777777" w:rsidR="007E6DB2" w:rsidRDefault="00971B9B" w:rsidP="002E3C53">
      <w:pPr>
        <w:pStyle w:val="ListParagraph"/>
        <w:numPr>
          <w:ilvl w:val="0"/>
          <w:numId w:val="7"/>
        </w:numPr>
      </w:pPr>
      <w:r w:rsidRPr="00971B9B">
        <w:t>ASPR TRACIE DEVELOPED RESOURCES</w:t>
      </w:r>
    </w:p>
    <w:p w14:paraId="20A66681" w14:textId="04FFF951" w:rsidR="007E6DB2" w:rsidRDefault="00971B9B" w:rsidP="007E6DB2">
      <w:pPr>
        <w:pStyle w:val="ListParagraph"/>
        <w:numPr>
          <w:ilvl w:val="1"/>
          <w:numId w:val="7"/>
        </w:numPr>
      </w:pPr>
      <w:r w:rsidRPr="00971B9B">
        <w:t xml:space="preserve">Mental/Behavioral Health </w:t>
      </w:r>
      <w:hyperlink r:id="rId21" w:history="1">
        <w:r w:rsidR="007E6DB2" w:rsidRPr="00993DF1">
          <w:rPr>
            <w:rStyle w:val="Hyperlink"/>
          </w:rPr>
          <w:t>https://asprtracie.hhs.gov/dbh-resources\</w:t>
        </w:r>
      </w:hyperlink>
    </w:p>
    <w:p w14:paraId="6E794A4E" w14:textId="54146F3E" w:rsidR="00971B9B" w:rsidRDefault="00971B9B" w:rsidP="007E6DB2">
      <w:pPr>
        <w:pStyle w:val="ListParagraph"/>
        <w:numPr>
          <w:ilvl w:val="1"/>
          <w:numId w:val="7"/>
        </w:numPr>
      </w:pPr>
      <w:r w:rsidRPr="00971B9B">
        <w:t xml:space="preserve">Population-Specific Resources: Older Adults </w:t>
      </w:r>
      <w:hyperlink r:id="rId22" w:history="1">
        <w:r w:rsidR="007E6DB2" w:rsidRPr="00993DF1">
          <w:rPr>
            <w:rStyle w:val="Hyperlink"/>
          </w:rPr>
          <w:t>https://www.ncbi.nlm.nih.gov/pmc/articles/PMC2248769/</w:t>
        </w:r>
      </w:hyperlink>
      <w:r w:rsidR="007E6DB2">
        <w:t xml:space="preserve"> </w:t>
      </w:r>
    </w:p>
    <w:p w14:paraId="2FE4FB81" w14:textId="77777777" w:rsidR="0005655B" w:rsidRDefault="0005655B"/>
    <w:p w14:paraId="6A66B475" w14:textId="6851A1AD" w:rsidR="00A6684D" w:rsidRDefault="00A6684D" w:rsidP="00A6684D"/>
    <w:p w14:paraId="1EB450A7" w14:textId="77777777" w:rsidR="00A6684D" w:rsidRDefault="00A6684D" w:rsidP="00A6684D"/>
    <w:sectPr w:rsidR="00A6684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3F8EB" w14:textId="77777777" w:rsidR="00383089" w:rsidRDefault="00383089" w:rsidP="005150DE">
      <w:r>
        <w:separator/>
      </w:r>
    </w:p>
  </w:endnote>
  <w:endnote w:type="continuationSeparator" w:id="0">
    <w:p w14:paraId="5F2066A8" w14:textId="77777777" w:rsidR="00383089" w:rsidRDefault="00383089" w:rsidP="0051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910812"/>
      <w:docPartObj>
        <w:docPartGallery w:val="Page Numbers (Bottom of Page)"/>
        <w:docPartUnique/>
      </w:docPartObj>
    </w:sdtPr>
    <w:sdtEndPr/>
    <w:sdtContent>
      <w:sdt>
        <w:sdtPr>
          <w:id w:val="1728636285"/>
          <w:docPartObj>
            <w:docPartGallery w:val="Page Numbers (Top of Page)"/>
            <w:docPartUnique/>
          </w:docPartObj>
        </w:sdtPr>
        <w:sdtEndPr/>
        <w:sdtContent>
          <w:p w14:paraId="243EBD78" w14:textId="4DDD91FE" w:rsidR="00220B2D" w:rsidRDefault="00220B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CA31EA" w14:textId="77777777" w:rsidR="00220B2D" w:rsidRDefault="00220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EE16A" w14:textId="77777777" w:rsidR="00383089" w:rsidRDefault="00383089" w:rsidP="005150DE">
      <w:r>
        <w:separator/>
      </w:r>
    </w:p>
  </w:footnote>
  <w:footnote w:type="continuationSeparator" w:id="0">
    <w:p w14:paraId="618A7609" w14:textId="77777777" w:rsidR="00383089" w:rsidRDefault="00383089" w:rsidP="0051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4FA3" w14:textId="77777777" w:rsidR="005150DE" w:rsidRDefault="005150DE" w:rsidP="005150DE">
    <w:pPr>
      <w:pStyle w:val="Header"/>
    </w:pPr>
    <w:r w:rsidRPr="00866F15">
      <w:rPr>
        <w:noProof/>
      </w:rPr>
      <w:drawing>
        <wp:anchor distT="0" distB="0" distL="114300" distR="114300" simplePos="0" relativeHeight="251659264" behindDoc="1" locked="0" layoutInCell="1" allowOverlap="1" wp14:anchorId="325AF92D" wp14:editId="67160CA9">
          <wp:simplePos x="0" y="0"/>
          <wp:positionH relativeFrom="margin">
            <wp:align>right</wp:align>
          </wp:positionH>
          <wp:positionV relativeFrom="paragraph">
            <wp:posOffset>9525</wp:posOffset>
          </wp:positionV>
          <wp:extent cx="984885" cy="643255"/>
          <wp:effectExtent l="0" t="0" r="5715" b="4445"/>
          <wp:wrapTight wrapText="bothSides">
            <wp:wrapPolygon edited="0">
              <wp:start x="0" y="0"/>
              <wp:lineTo x="0" y="21110"/>
              <wp:lineTo x="21308" y="21110"/>
              <wp:lineTo x="2130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643255"/>
                  </a:xfrm>
                  <a:prstGeom prst="rect">
                    <a:avLst/>
                  </a:prstGeom>
                </pic:spPr>
              </pic:pic>
            </a:graphicData>
          </a:graphic>
          <wp14:sizeRelH relativeFrom="page">
            <wp14:pctWidth>0</wp14:pctWidth>
          </wp14:sizeRelH>
          <wp14:sizeRelV relativeFrom="page">
            <wp14:pctHeight>0</wp14:pctHeight>
          </wp14:sizeRelV>
        </wp:anchor>
      </w:drawing>
    </w:r>
    <w:r w:rsidRPr="00E8418E">
      <w:rPr>
        <w:b/>
        <w:noProof/>
        <w:sz w:val="24"/>
      </w:rPr>
      <w:drawing>
        <wp:anchor distT="0" distB="0" distL="114300" distR="114300" simplePos="0" relativeHeight="251660288" behindDoc="0" locked="0" layoutInCell="1" allowOverlap="1" wp14:anchorId="53F09D04" wp14:editId="50C47253">
          <wp:simplePos x="0" y="0"/>
          <wp:positionH relativeFrom="margin">
            <wp:align>left</wp:align>
          </wp:positionH>
          <wp:positionV relativeFrom="paragraph">
            <wp:posOffset>8610</wp:posOffset>
          </wp:positionV>
          <wp:extent cx="1678940" cy="57277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HO_tagline_color_pms3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8940" cy="572770"/>
                  </a:xfrm>
                  <a:prstGeom prst="rect">
                    <a:avLst/>
                  </a:prstGeom>
                </pic:spPr>
              </pic:pic>
            </a:graphicData>
          </a:graphic>
          <wp14:sizeRelH relativeFrom="page">
            <wp14:pctWidth>0</wp14:pctWidth>
          </wp14:sizeRelH>
          <wp14:sizeRelV relativeFrom="page">
            <wp14:pctHeight>0</wp14:pctHeight>
          </wp14:sizeRelV>
        </wp:anchor>
      </w:drawing>
    </w:r>
  </w:p>
  <w:p w14:paraId="2C37F6AF" w14:textId="77777777" w:rsidR="005150DE" w:rsidRDefault="005150DE" w:rsidP="005150DE">
    <w:pPr>
      <w:pStyle w:val="Header"/>
    </w:pPr>
  </w:p>
  <w:p w14:paraId="79FF6293" w14:textId="77777777" w:rsidR="005150DE" w:rsidRDefault="005150DE" w:rsidP="005150DE">
    <w:pPr>
      <w:pStyle w:val="Header"/>
    </w:pPr>
  </w:p>
  <w:p w14:paraId="55759AC9" w14:textId="77777777" w:rsidR="005150DE" w:rsidRDefault="005150DE" w:rsidP="00CC3181">
    <w:pPr>
      <w:pStyle w:val="Header"/>
      <w:spacing w:after="120"/>
    </w:pPr>
  </w:p>
  <w:p w14:paraId="2E1D3A86" w14:textId="77777777" w:rsidR="005150DE" w:rsidRPr="00807B15" w:rsidRDefault="005150DE" w:rsidP="00CC3181">
    <w:pPr>
      <w:pStyle w:val="Header"/>
      <w:spacing w:before="120"/>
      <w:rPr>
        <w:b/>
        <w:color w:val="002060"/>
      </w:rPr>
    </w:pPr>
    <w:r w:rsidRPr="00807B15">
      <w:rPr>
        <w:b/>
        <w:noProof/>
      </w:rPr>
      <mc:AlternateContent>
        <mc:Choice Requires="wps">
          <w:drawing>
            <wp:anchor distT="0" distB="0" distL="114300" distR="114300" simplePos="0" relativeHeight="251661312" behindDoc="0" locked="0" layoutInCell="1" allowOverlap="1" wp14:anchorId="1B62CC1F" wp14:editId="383D7F4E">
              <wp:simplePos x="0" y="0"/>
              <wp:positionH relativeFrom="margin">
                <wp:align>right</wp:align>
              </wp:positionH>
              <wp:positionV relativeFrom="paragraph">
                <wp:posOffset>50962</wp:posOffset>
              </wp:positionV>
              <wp:extent cx="5921848" cy="10633"/>
              <wp:effectExtent l="0" t="0" r="22225" b="27940"/>
              <wp:wrapNone/>
              <wp:docPr id="2" name="Straight Connector 2"/>
              <wp:cNvGraphicFramePr/>
              <a:graphic xmlns:a="http://schemas.openxmlformats.org/drawingml/2006/main">
                <a:graphicData uri="http://schemas.microsoft.com/office/word/2010/wordprocessingShape">
                  <wps:wsp>
                    <wps:cNvCnPr/>
                    <wps:spPr>
                      <a:xfrm flipV="1">
                        <a:off x="0" y="0"/>
                        <a:ext cx="5921848" cy="10633"/>
                      </a:xfrm>
                      <a:prstGeom prst="line">
                        <a:avLst/>
                      </a:prstGeom>
                      <a:ln>
                        <a:solidFill>
                          <a:srgbClr val="00808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07D83" id="Straight Connector 2"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1pt,4pt" to="881.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" strokecolor="teal"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1C19"/>
    <w:multiLevelType w:val="hybridMultilevel"/>
    <w:tmpl w:val="41A6D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F076D4"/>
    <w:multiLevelType w:val="hybridMultilevel"/>
    <w:tmpl w:val="E66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517DE"/>
    <w:multiLevelType w:val="hybridMultilevel"/>
    <w:tmpl w:val="8EDC3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A2A59"/>
    <w:multiLevelType w:val="hybridMultilevel"/>
    <w:tmpl w:val="990A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D4EE3"/>
    <w:multiLevelType w:val="hybridMultilevel"/>
    <w:tmpl w:val="0E9E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77B15"/>
    <w:multiLevelType w:val="hybridMultilevel"/>
    <w:tmpl w:val="32D4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9D2263"/>
    <w:multiLevelType w:val="hybridMultilevel"/>
    <w:tmpl w:val="E5A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84"/>
    <w:rsid w:val="0005655B"/>
    <w:rsid w:val="00057188"/>
    <w:rsid w:val="000B0789"/>
    <w:rsid w:val="0010181F"/>
    <w:rsid w:val="001958C0"/>
    <w:rsid w:val="00220B2D"/>
    <w:rsid w:val="002600D7"/>
    <w:rsid w:val="00291598"/>
    <w:rsid w:val="002E3C53"/>
    <w:rsid w:val="00310BEE"/>
    <w:rsid w:val="003464B1"/>
    <w:rsid w:val="00367184"/>
    <w:rsid w:val="00383089"/>
    <w:rsid w:val="0038751F"/>
    <w:rsid w:val="004465C6"/>
    <w:rsid w:val="004B015B"/>
    <w:rsid w:val="004C749C"/>
    <w:rsid w:val="005150DE"/>
    <w:rsid w:val="00523D12"/>
    <w:rsid w:val="005A3777"/>
    <w:rsid w:val="005C0D88"/>
    <w:rsid w:val="005D7DED"/>
    <w:rsid w:val="0066603F"/>
    <w:rsid w:val="006826DC"/>
    <w:rsid w:val="006A61A3"/>
    <w:rsid w:val="007E6DB2"/>
    <w:rsid w:val="008A6628"/>
    <w:rsid w:val="00971B9B"/>
    <w:rsid w:val="00993BF9"/>
    <w:rsid w:val="00A24D6D"/>
    <w:rsid w:val="00A6684D"/>
    <w:rsid w:val="00A8150F"/>
    <w:rsid w:val="00AE65B8"/>
    <w:rsid w:val="00B57777"/>
    <w:rsid w:val="00CC3181"/>
    <w:rsid w:val="00D3185C"/>
    <w:rsid w:val="00D52210"/>
    <w:rsid w:val="00D5615A"/>
    <w:rsid w:val="00E152AD"/>
    <w:rsid w:val="00EA4704"/>
    <w:rsid w:val="00EC13C8"/>
    <w:rsid w:val="00F24DD6"/>
    <w:rsid w:val="00FE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361AF"/>
  <w15:chartTrackingRefBased/>
  <w15:docId w15:val="{662EA79A-F139-46F4-8E01-F1CD1547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84"/>
    <w:pPr>
      <w:ind w:left="720"/>
      <w:contextualSpacing/>
    </w:pPr>
  </w:style>
  <w:style w:type="paragraph" w:styleId="Header">
    <w:name w:val="header"/>
    <w:basedOn w:val="Normal"/>
    <w:link w:val="HeaderChar"/>
    <w:uiPriority w:val="99"/>
    <w:unhideWhenUsed/>
    <w:rsid w:val="005150DE"/>
    <w:pPr>
      <w:tabs>
        <w:tab w:val="center" w:pos="4680"/>
        <w:tab w:val="right" w:pos="9360"/>
      </w:tabs>
    </w:pPr>
  </w:style>
  <w:style w:type="character" w:customStyle="1" w:styleId="HeaderChar">
    <w:name w:val="Header Char"/>
    <w:basedOn w:val="DefaultParagraphFont"/>
    <w:link w:val="Header"/>
    <w:uiPriority w:val="99"/>
    <w:rsid w:val="005150DE"/>
  </w:style>
  <w:style w:type="paragraph" w:styleId="Footer">
    <w:name w:val="footer"/>
    <w:basedOn w:val="Normal"/>
    <w:link w:val="FooterChar"/>
    <w:uiPriority w:val="99"/>
    <w:unhideWhenUsed/>
    <w:rsid w:val="005150DE"/>
    <w:pPr>
      <w:tabs>
        <w:tab w:val="center" w:pos="4680"/>
        <w:tab w:val="right" w:pos="9360"/>
      </w:tabs>
    </w:pPr>
  </w:style>
  <w:style w:type="character" w:customStyle="1" w:styleId="FooterChar">
    <w:name w:val="Footer Char"/>
    <w:basedOn w:val="DefaultParagraphFont"/>
    <w:link w:val="Footer"/>
    <w:uiPriority w:val="99"/>
    <w:rsid w:val="005150DE"/>
  </w:style>
  <w:style w:type="table" w:styleId="TableGrid">
    <w:name w:val="Table Grid"/>
    <w:basedOn w:val="TableNormal"/>
    <w:uiPriority w:val="39"/>
    <w:rsid w:val="00A2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181F"/>
    <w:rPr>
      <w:color w:val="0563C1" w:themeColor="hyperlink"/>
      <w:u w:val="single"/>
    </w:rPr>
  </w:style>
  <w:style w:type="character" w:styleId="UnresolvedMention">
    <w:name w:val="Unresolved Mention"/>
    <w:basedOn w:val="DefaultParagraphFont"/>
    <w:uiPriority w:val="99"/>
    <w:semiHidden/>
    <w:unhideWhenUsed/>
    <w:rsid w:val="0010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in.org/mrc/course/1093802/" TargetMode="External"/><Relationship Id="rId18" Type="http://schemas.openxmlformats.org/officeDocument/2006/relationships/hyperlink" Target="https://www.healthaffairs.org/do/10.1377/hpb20200622.253235/ful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sprtracie.hhs.gov/dbh-resources\" TargetMode="External"/><Relationship Id="rId7" Type="http://schemas.openxmlformats.org/officeDocument/2006/relationships/webSettings" Target="webSettings.xml"/><Relationship Id="rId12" Type="http://schemas.openxmlformats.org/officeDocument/2006/relationships/hyperlink" Target="https://wmmrc.org/confidentiality-agreement-2020/" TargetMode="External"/><Relationship Id="rId17" Type="http://schemas.openxmlformats.org/officeDocument/2006/relationships/hyperlink" Target="https://www.artandhealing.org/best-of-fe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tandHealing.org" TargetMode="External"/><Relationship Id="rId20" Type="http://schemas.openxmlformats.org/officeDocument/2006/relationships/hyperlink" Target="https://vitalifestory.com/storytime-c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mmrc.org/wp-content/uploads/2020/03/Berkshire-Franklin-Volunteer-%20Request-Form_012519-2.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WMMRC.org/training" TargetMode="External"/><Relationship Id="rId23" Type="http://schemas.openxmlformats.org/officeDocument/2006/relationships/header" Target="header1.xml"/><Relationship Id="rId10" Type="http://schemas.openxmlformats.org/officeDocument/2006/relationships/hyperlink" Target="http://wmmrc.org/wp-content/uploads/2020/10/RCE-Agency-Referral-Form.pdf" TargetMode="External"/><Relationship Id="rId19" Type="http://schemas.openxmlformats.org/officeDocument/2006/relationships/hyperlink" Target="https://milkeninstitute.org/videos/loneliness-risk-factor-making-connectionsimprove-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MMRC.org/training" TargetMode="External"/><Relationship Id="rId22" Type="http://schemas.openxmlformats.org/officeDocument/2006/relationships/hyperlink" Target="https://www.ncbi.nlm.nih.gov/pmc/articles/PMC224876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CCA359E420E43BADFED55FE4EB4F7" ma:contentTypeVersion="13" ma:contentTypeDescription="Create a new document." ma:contentTypeScope="" ma:versionID="0221345c1619a8b37e255eee216144bd">
  <xsd:schema xmlns:xsd="http://www.w3.org/2001/XMLSchema" xmlns:xs="http://www.w3.org/2001/XMLSchema" xmlns:p="http://schemas.microsoft.com/office/2006/metadata/properties" xmlns:ns2="d3abbc10-fe47-4fae-8874-def16b14fa26" xmlns:ns3="d26f4ce8-7ae5-45bb-949c-0809f1e3daba" targetNamespace="http://schemas.microsoft.com/office/2006/metadata/properties" ma:root="true" ma:fieldsID="d2be5e4af4403436420b70bfbd0c750f" ns2:_="" ns3:_="">
    <xsd:import namespace="d3abbc10-fe47-4fae-8874-def16b14fa26"/>
    <xsd:import namespace="d26f4ce8-7ae5-45bb-949c-0809f1e3da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bc10-fe47-4fae-8874-def16b14f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f4ce8-7ae5-45bb-949c-0809f1e3da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E7A68-7B69-406D-8367-6ADC2B99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C4B762-399D-4BD0-97E6-855A4AF2AA98}">
  <ds:schemaRefs>
    <ds:schemaRef ds:uri="http://schemas.microsoft.com/sharepoint/v3/contenttype/forms"/>
  </ds:schemaRefs>
</ds:datastoreItem>
</file>

<file path=customXml/itemProps3.xml><?xml version="1.0" encoding="utf-8"?>
<ds:datastoreItem xmlns:ds="http://schemas.openxmlformats.org/officeDocument/2006/customXml" ds:itemID="{776377CF-D13E-4C82-8139-699CF9FA7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bc10-fe47-4fae-8874-def16b14fa26"/>
    <ds:schemaRef ds:uri="d26f4ce8-7ae5-45bb-949c-0809f1e3d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Kamya Raja</dc:creator>
  <cp:keywords/>
  <dc:description/>
  <cp:lastModifiedBy>Keirsten Andersen</cp:lastModifiedBy>
  <cp:revision>2</cp:revision>
  <dcterms:created xsi:type="dcterms:W3CDTF">2021-11-16T14:51:00Z</dcterms:created>
  <dcterms:modified xsi:type="dcterms:W3CDTF">2021-11-16T14:51:00Z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0x010100DA7CCA359E420E43BADFED55FE4EB4F7</vt:lpwstr>
  </property>
</Properties>
</file>