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273B" w:rsidP="00B85F46" w:rsidRDefault="00E952F9" w14:paraId="4BACC16A" w14:textId="77777777">
      <w:pPr>
        <w:spacing w:after="0" w:line="240" w:lineRule="auto"/>
        <w:jc w:val="center"/>
        <w:rPr>
          <w:rStyle w:val="IntenseReference"/>
          <w:rFonts w:asciiTheme="majorHAnsi" w:hAnsiTheme="majorHAnsi"/>
          <w:color w:val="215868" w:themeColor="accent5" w:themeShade="80"/>
          <w:sz w:val="24"/>
          <w:szCs w:val="24"/>
        </w:rPr>
      </w:pPr>
      <w:r>
        <w:rPr>
          <w:rFonts w:ascii="Calibri-Bold" w:hAnsi="Calibri-Bold" w:cs="Calibri-Bold"/>
          <w:b/>
          <w:bCs/>
          <w:noProof/>
        </w:rPr>
        <w:drawing>
          <wp:inline distT="0" distB="0" distL="0" distR="0" wp14:anchorId="0B05777F" wp14:editId="6BC5E740">
            <wp:extent cx="487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9848" cy="1304544"/>
                    </a:xfrm>
                    <a:prstGeom prst="rect">
                      <a:avLst/>
                    </a:prstGeom>
                  </pic:spPr>
                </pic:pic>
              </a:graphicData>
            </a:graphic>
          </wp:inline>
        </w:drawing>
      </w:r>
    </w:p>
    <w:p w:rsidR="00E952F9" w:rsidP="00B85F46" w:rsidRDefault="00E952F9" w14:paraId="3D84CC29" w14:textId="77777777">
      <w:pPr>
        <w:spacing w:after="0" w:line="240" w:lineRule="auto"/>
        <w:jc w:val="center"/>
        <w:rPr>
          <w:rStyle w:val="IntenseReference"/>
          <w:rFonts w:asciiTheme="majorHAnsi" w:hAnsiTheme="majorHAnsi"/>
          <w:color w:val="215868" w:themeColor="accent5" w:themeShade="80"/>
          <w:sz w:val="24"/>
          <w:szCs w:val="24"/>
        </w:rPr>
      </w:pPr>
    </w:p>
    <w:p w:rsidR="00B85F46" w:rsidP="00BA273B" w:rsidRDefault="00B85F46" w14:paraId="2A9913C4" w14:textId="77777777">
      <w:pPr>
        <w:spacing w:after="0" w:line="240" w:lineRule="auto"/>
        <w:rPr>
          <w:rStyle w:val="IntenseReference"/>
          <w:rFonts w:asciiTheme="majorHAnsi" w:hAnsiTheme="majorHAnsi"/>
          <w:color w:val="215868" w:themeColor="accent5" w:themeShade="80"/>
          <w:sz w:val="24"/>
          <w:szCs w:val="24"/>
        </w:rPr>
      </w:pPr>
    </w:p>
    <w:p w:rsidR="00E952F9" w:rsidP="00BA273B" w:rsidRDefault="00E952F9" w14:paraId="4D981BFF" w14:textId="77777777">
      <w:pPr>
        <w:spacing w:after="0" w:line="240" w:lineRule="auto"/>
        <w:rPr>
          <w:rStyle w:val="IntenseReference"/>
          <w:rFonts w:asciiTheme="majorHAnsi" w:hAnsiTheme="majorHAnsi"/>
          <w:color w:val="215868" w:themeColor="accent5" w:themeShade="80"/>
          <w:sz w:val="24"/>
          <w:szCs w:val="24"/>
        </w:rPr>
      </w:pPr>
    </w:p>
    <w:p w:rsidR="004D05C7" w:rsidP="00E952F9" w:rsidRDefault="004D05C7" w14:paraId="5F76DEA6" w14:textId="77777777">
      <w:pPr>
        <w:autoSpaceDE w:val="0"/>
        <w:autoSpaceDN w:val="0"/>
        <w:adjustRightInd w:val="0"/>
        <w:spacing w:after="0" w:line="240" w:lineRule="auto"/>
        <w:jc w:val="center"/>
        <w:rPr>
          <w:rFonts w:ascii="Calibri-Bold" w:hAnsi="Calibri-Bold" w:cs="Calibri-Bold"/>
          <w:b/>
          <w:bCs/>
        </w:rPr>
      </w:pPr>
    </w:p>
    <w:p w:rsidR="004D05C7" w:rsidP="00E952F9" w:rsidRDefault="004D05C7" w14:paraId="6E487E6A" w14:textId="77777777">
      <w:pPr>
        <w:autoSpaceDE w:val="0"/>
        <w:autoSpaceDN w:val="0"/>
        <w:adjustRightInd w:val="0"/>
        <w:spacing w:after="0" w:line="240" w:lineRule="auto"/>
        <w:jc w:val="center"/>
        <w:rPr>
          <w:rFonts w:ascii="Calibri-Bold" w:hAnsi="Calibri-Bold" w:cs="Calibri-Bold"/>
          <w:b/>
          <w:bCs/>
        </w:rPr>
      </w:pPr>
    </w:p>
    <w:p w:rsidR="004D05C7" w:rsidP="00E952F9" w:rsidRDefault="004D05C7" w14:paraId="6E2688DD" w14:textId="77777777">
      <w:pPr>
        <w:autoSpaceDE w:val="0"/>
        <w:autoSpaceDN w:val="0"/>
        <w:adjustRightInd w:val="0"/>
        <w:spacing w:after="0" w:line="240" w:lineRule="auto"/>
        <w:jc w:val="center"/>
        <w:rPr>
          <w:rFonts w:ascii="Calibri-Bold" w:hAnsi="Calibri-Bold" w:cs="Calibri-Bold"/>
          <w:b/>
          <w:bCs/>
        </w:rPr>
      </w:pPr>
    </w:p>
    <w:p w:rsidR="004D05C7" w:rsidP="00E952F9" w:rsidRDefault="004D05C7" w14:paraId="575D76E7" w14:textId="77777777">
      <w:pPr>
        <w:autoSpaceDE w:val="0"/>
        <w:autoSpaceDN w:val="0"/>
        <w:adjustRightInd w:val="0"/>
        <w:spacing w:after="0" w:line="240" w:lineRule="auto"/>
        <w:jc w:val="center"/>
        <w:rPr>
          <w:rFonts w:ascii="Calibri-Bold" w:hAnsi="Calibri-Bold" w:cs="Calibri-Bold"/>
          <w:b/>
          <w:bCs/>
        </w:rPr>
      </w:pPr>
    </w:p>
    <w:p w:rsidR="004D05C7" w:rsidP="00E952F9" w:rsidRDefault="004D05C7" w14:paraId="37A7560F" w14:textId="77777777">
      <w:pPr>
        <w:autoSpaceDE w:val="0"/>
        <w:autoSpaceDN w:val="0"/>
        <w:adjustRightInd w:val="0"/>
        <w:spacing w:after="0" w:line="240" w:lineRule="auto"/>
        <w:jc w:val="center"/>
        <w:rPr>
          <w:rFonts w:ascii="Calibri-Bold" w:hAnsi="Calibri-Bold" w:cs="Calibri-Bold"/>
          <w:b/>
          <w:bCs/>
        </w:rPr>
      </w:pPr>
    </w:p>
    <w:p w:rsidR="00E952F9" w:rsidP="00E952F9" w:rsidRDefault="00E952F9" w14:paraId="115EC3C3" w14:textId="06DBDB49">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REQUEST FOR</w:t>
      </w:r>
      <w:r w:rsidR="00E24CEA">
        <w:rPr>
          <w:rFonts w:ascii="Calibri-Bold" w:hAnsi="Calibri-Bold" w:cs="Calibri-Bold"/>
          <w:b/>
          <w:bCs/>
        </w:rPr>
        <w:t xml:space="preserve"> APPLICATIONS  </w:t>
      </w:r>
    </w:p>
    <w:p w:rsidRPr="00C93E0E" w:rsidR="00E952F9" w:rsidP="00C93E0E" w:rsidRDefault="007A5AF6" w14:paraId="7B88B932" w14:textId="261F505B">
      <w:pPr>
        <w:spacing w:after="240"/>
        <w:jc w:val="center"/>
        <w:rPr>
          <w:rFonts w:ascii="Calibri-Bold" w:hAnsi="Calibri-Bold" w:cs="Calibri-Bold"/>
          <w:b/>
          <w:bCs/>
          <w:sz w:val="28"/>
          <w:szCs w:val="28"/>
        </w:rPr>
      </w:pPr>
      <w:r w:rsidRPr="00C93E0E">
        <w:rPr>
          <w:rFonts w:ascii="Calibri-Bold" w:hAnsi="Calibri-Bold" w:cs="Calibri-Bold"/>
          <w:b/>
          <w:bCs/>
          <w:sz w:val="28"/>
          <w:szCs w:val="28"/>
        </w:rPr>
        <w:t>Strengthening Capacity in Suicide, Overdose, and Adverse Childhood Experiences</w:t>
      </w:r>
      <w:r w:rsidRPr="00C93E0E" w:rsidR="00291DE9">
        <w:rPr>
          <w:rFonts w:ascii="Calibri-Bold" w:hAnsi="Calibri-Bold" w:cs="Calibri-Bold"/>
          <w:b/>
          <w:bCs/>
          <w:sz w:val="28"/>
          <w:szCs w:val="28"/>
        </w:rPr>
        <w:t xml:space="preserve"> Prevention</w:t>
      </w:r>
      <w:r w:rsidR="0057309C">
        <w:rPr>
          <w:rFonts w:ascii="Calibri-Bold" w:hAnsi="Calibri-Bold" w:cs="Calibri-Bold"/>
          <w:b/>
          <w:bCs/>
          <w:sz w:val="28"/>
          <w:szCs w:val="28"/>
        </w:rPr>
        <w:t xml:space="preserve"> for Local Health Departments</w:t>
      </w:r>
    </w:p>
    <w:p w:rsidR="00B85F46" w:rsidP="00A87E6A" w:rsidRDefault="00E952F9" w14:paraId="1BA6320E" w14:textId="6F7FD67F">
      <w:pPr>
        <w:jc w:val="center"/>
        <w:rPr>
          <w:rFonts w:cstheme="minorHAnsi"/>
          <w:b/>
          <w:sz w:val="24"/>
          <w:szCs w:val="24"/>
        </w:rPr>
      </w:pPr>
      <w:r>
        <w:rPr>
          <w:rFonts w:ascii="Calibri-Bold" w:hAnsi="Calibri-Bold" w:cs="Calibri-Bold"/>
          <w:b/>
          <w:bCs/>
        </w:rPr>
        <w:t>National Association of County and City Health Officials (NACCHO)</w:t>
      </w:r>
      <w:r w:rsidR="00A87E6A">
        <w:rPr>
          <w:rFonts w:cstheme="minorHAnsi"/>
          <w:b/>
          <w:sz w:val="24"/>
          <w:szCs w:val="24"/>
        </w:rPr>
        <w:t xml:space="preserve"> </w:t>
      </w:r>
    </w:p>
    <w:p w:rsidR="00FD5419" w:rsidP="00A87E6A" w:rsidRDefault="00FD5419" w14:paraId="6B67A563" w14:textId="77777777">
      <w:pPr>
        <w:jc w:val="center"/>
        <w:rPr>
          <w:rFonts w:cstheme="minorHAnsi"/>
          <w:b/>
          <w:sz w:val="24"/>
          <w:szCs w:val="24"/>
        </w:rPr>
      </w:pPr>
    </w:p>
    <w:p w:rsidR="00A87E6A" w:rsidP="70B27C9D" w:rsidRDefault="00A87E6A" w14:paraId="1654A992" w14:textId="355D7C4E">
      <w:pPr>
        <w:jc w:val="center"/>
        <w:rPr>
          <w:b/>
          <w:bCs/>
          <w:sz w:val="24"/>
          <w:szCs w:val="24"/>
        </w:rPr>
      </w:pPr>
      <w:r w:rsidRPr="4A0D86D1">
        <w:rPr>
          <w:b/>
          <w:bCs/>
          <w:sz w:val="24"/>
          <w:szCs w:val="24"/>
        </w:rPr>
        <w:t>Date of Release:</w:t>
      </w:r>
      <w:r w:rsidRPr="4A0D86D1" w:rsidR="00446441">
        <w:rPr>
          <w:b/>
          <w:bCs/>
          <w:sz w:val="24"/>
          <w:szCs w:val="24"/>
        </w:rPr>
        <w:t xml:space="preserve"> </w:t>
      </w:r>
      <w:r w:rsidRPr="4A0D86D1" w:rsidR="7E4FA5BA">
        <w:rPr>
          <w:b/>
          <w:bCs/>
          <w:sz w:val="24"/>
          <w:szCs w:val="24"/>
        </w:rPr>
        <w:t>January</w:t>
      </w:r>
      <w:r w:rsidRPr="4A0D86D1" w:rsidR="00446441">
        <w:rPr>
          <w:b/>
          <w:bCs/>
          <w:sz w:val="24"/>
          <w:szCs w:val="24"/>
        </w:rPr>
        <w:t xml:space="preserve"> </w:t>
      </w:r>
      <w:r w:rsidRPr="4A0D86D1" w:rsidR="008E3833">
        <w:rPr>
          <w:b/>
          <w:bCs/>
          <w:sz w:val="24"/>
          <w:szCs w:val="24"/>
        </w:rPr>
        <w:t>18th</w:t>
      </w:r>
      <w:r w:rsidRPr="4A0D86D1" w:rsidR="00BB4CFA">
        <w:rPr>
          <w:b/>
          <w:bCs/>
          <w:sz w:val="24"/>
          <w:szCs w:val="24"/>
        </w:rPr>
        <w:t>, 2022</w:t>
      </w:r>
    </w:p>
    <w:p w:rsidRPr="00A87E6A" w:rsidR="00A87E6A" w:rsidP="4A0D86D1" w:rsidRDefault="00A87E6A" w14:paraId="7E0D2F15" w14:textId="03F3AA7A">
      <w:pPr>
        <w:jc w:val="center"/>
        <w:rPr>
          <w:b/>
          <w:bCs/>
          <w:sz w:val="24"/>
          <w:szCs w:val="24"/>
        </w:rPr>
      </w:pPr>
      <w:r w:rsidRPr="4A0D86D1">
        <w:rPr>
          <w:b/>
          <w:bCs/>
          <w:sz w:val="24"/>
          <w:szCs w:val="24"/>
        </w:rPr>
        <w:t>*Applications are due by</w:t>
      </w:r>
      <w:r w:rsidRPr="4A0D86D1" w:rsidR="5E698B00">
        <w:rPr>
          <w:b/>
          <w:bCs/>
          <w:sz w:val="24"/>
          <w:szCs w:val="24"/>
        </w:rPr>
        <w:t xml:space="preserve">: </w:t>
      </w:r>
      <w:r w:rsidRPr="4A0D86D1" w:rsidR="008E3833">
        <w:rPr>
          <w:b/>
          <w:bCs/>
          <w:sz w:val="24"/>
          <w:szCs w:val="24"/>
        </w:rPr>
        <w:t>February 1</w:t>
      </w:r>
      <w:r w:rsidRPr="4A0D86D1" w:rsidR="00074674">
        <w:rPr>
          <w:b/>
          <w:bCs/>
          <w:sz w:val="24"/>
          <w:szCs w:val="24"/>
        </w:rPr>
        <w:t>8</w:t>
      </w:r>
      <w:r w:rsidRPr="4A0D86D1" w:rsidR="008E3833">
        <w:rPr>
          <w:b/>
          <w:bCs/>
          <w:sz w:val="24"/>
          <w:szCs w:val="24"/>
          <w:vertAlign w:val="superscript"/>
        </w:rPr>
        <w:t>th</w:t>
      </w:r>
      <w:r w:rsidRPr="4A0D86D1" w:rsidR="00BB4CFA">
        <w:rPr>
          <w:b/>
          <w:bCs/>
          <w:sz w:val="24"/>
          <w:szCs w:val="24"/>
        </w:rPr>
        <w:t>, 2022</w:t>
      </w:r>
      <w:r w:rsidRPr="4A0D86D1" w:rsidR="00EB5D7A">
        <w:rPr>
          <w:b/>
          <w:bCs/>
          <w:sz w:val="24"/>
          <w:szCs w:val="24"/>
        </w:rPr>
        <w:t xml:space="preserve"> by 5:00 pm ET</w:t>
      </w:r>
      <w:r w:rsidRPr="4A0D86D1" w:rsidR="00BB4CFA">
        <w:rPr>
          <w:b/>
          <w:bCs/>
          <w:sz w:val="24"/>
          <w:szCs w:val="24"/>
        </w:rPr>
        <w:t xml:space="preserve"> </w:t>
      </w:r>
    </w:p>
    <w:p w:rsidR="00B85F46" w:rsidP="00BA273B" w:rsidRDefault="00B85F46" w14:paraId="51DB0A91"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5B314174"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0BA8E4BF"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695C328D"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110C29C9"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1AABC057"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49FE858C"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445631B0"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39BD0102"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22DC7BED"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7F8AF089"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103AB5E1"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376020D3"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7DD81F4E"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6735FFAD"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1D9E71EE"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62858862" w14:textId="77777777">
      <w:pPr>
        <w:spacing w:after="0" w:line="240" w:lineRule="auto"/>
        <w:rPr>
          <w:rStyle w:val="IntenseReference"/>
          <w:rFonts w:asciiTheme="majorHAnsi" w:hAnsiTheme="majorHAnsi"/>
          <w:color w:val="215868" w:themeColor="accent5" w:themeShade="80"/>
          <w:sz w:val="24"/>
          <w:szCs w:val="24"/>
        </w:rPr>
      </w:pPr>
    </w:p>
    <w:p w:rsidR="00B85F46" w:rsidP="00BA273B" w:rsidRDefault="00B85F46" w14:paraId="37CDF809" w14:textId="77777777">
      <w:pPr>
        <w:spacing w:after="0" w:line="240" w:lineRule="auto"/>
        <w:rPr>
          <w:rStyle w:val="IntenseReference"/>
          <w:rFonts w:asciiTheme="majorHAnsi" w:hAnsiTheme="majorHAnsi"/>
          <w:color w:val="215868" w:themeColor="accent5" w:themeShade="80"/>
          <w:sz w:val="24"/>
          <w:szCs w:val="24"/>
        </w:rPr>
      </w:pPr>
    </w:p>
    <w:p w:rsidR="00F40D26" w:rsidP="00202829" w:rsidRDefault="461D6EA6" w14:paraId="3C1E5893" w14:textId="77777777">
      <w:pPr>
        <w:pStyle w:val="Default"/>
        <w:rPr>
          <w:b/>
          <w:bCs/>
          <w:smallCaps/>
          <w:color w:val="215868" w:themeColor="accent5" w:themeShade="80"/>
          <w:sz w:val="28"/>
          <w:szCs w:val="28"/>
          <w:u w:val="single"/>
        </w:rPr>
      </w:pPr>
      <w:r w:rsidRPr="00C93E0E">
        <w:rPr>
          <w:b/>
          <w:bCs/>
          <w:smallCaps/>
          <w:color w:val="215868" w:themeColor="accent5" w:themeShade="80"/>
          <w:sz w:val="28"/>
          <w:szCs w:val="28"/>
          <w:u w:val="single"/>
        </w:rPr>
        <w:t>Summary Information</w:t>
      </w:r>
      <w:r w:rsidRPr="3A79A151">
        <w:rPr>
          <w:b/>
          <w:bCs/>
          <w:smallCaps/>
          <w:color w:val="215868" w:themeColor="accent5" w:themeShade="80"/>
          <w:sz w:val="28"/>
          <w:szCs w:val="28"/>
          <w:u w:val="single"/>
        </w:rPr>
        <w:t xml:space="preserve"> </w:t>
      </w:r>
    </w:p>
    <w:p w:rsidRPr="006826FD" w:rsidR="0089201C" w:rsidP="1EE1375A" w:rsidRDefault="78EE0961" w14:paraId="0100E200" w14:textId="647C6272">
      <w:pPr>
        <w:pStyle w:val="Default"/>
        <w:ind w:left="360"/>
        <w:rPr>
          <w:rFonts w:asciiTheme="minorHAnsi" w:hAnsiTheme="minorHAnsi" w:cstheme="minorHAnsi"/>
          <w:b/>
          <w:bCs/>
          <w:color w:val="auto"/>
          <w:sz w:val="22"/>
          <w:szCs w:val="22"/>
        </w:rPr>
      </w:pPr>
      <w:r w:rsidRPr="006826FD">
        <w:rPr>
          <w:rFonts w:asciiTheme="minorHAnsi" w:hAnsiTheme="minorHAnsi" w:cstheme="minorHAnsi"/>
          <w:b/>
          <w:bCs/>
          <w:color w:val="auto"/>
          <w:sz w:val="22"/>
          <w:szCs w:val="22"/>
        </w:rPr>
        <w:t>Project Title:</w:t>
      </w:r>
      <w:r w:rsidRPr="006826FD" w:rsidR="5B2BA221">
        <w:rPr>
          <w:rFonts w:asciiTheme="minorHAnsi" w:hAnsiTheme="minorHAnsi" w:cstheme="minorHAnsi"/>
          <w:b/>
          <w:bCs/>
          <w:color w:val="auto"/>
          <w:sz w:val="22"/>
          <w:szCs w:val="22"/>
        </w:rPr>
        <w:t xml:space="preserve"> </w:t>
      </w:r>
      <w:r w:rsidRPr="006826FD" w:rsidR="7024DFA2">
        <w:rPr>
          <w:rFonts w:asciiTheme="minorHAnsi" w:hAnsiTheme="minorHAnsi" w:cstheme="minorHAnsi"/>
          <w:color w:val="auto"/>
          <w:sz w:val="22"/>
          <w:szCs w:val="22"/>
        </w:rPr>
        <w:t xml:space="preserve">Strengthening Capacity in </w:t>
      </w:r>
      <w:r w:rsidRPr="006826FD" w:rsidR="06730520">
        <w:rPr>
          <w:rFonts w:asciiTheme="minorHAnsi" w:hAnsiTheme="minorHAnsi" w:cstheme="minorHAnsi"/>
          <w:color w:val="auto"/>
          <w:sz w:val="22"/>
          <w:szCs w:val="22"/>
        </w:rPr>
        <w:t>Suicide, Overdose, and Adverse Childhood Experiences</w:t>
      </w:r>
      <w:r w:rsidRPr="006826FD" w:rsidR="07EC2972">
        <w:rPr>
          <w:rFonts w:asciiTheme="minorHAnsi" w:hAnsiTheme="minorHAnsi" w:cstheme="minorHAnsi"/>
          <w:color w:val="auto"/>
          <w:sz w:val="22"/>
          <w:szCs w:val="22"/>
        </w:rPr>
        <w:t xml:space="preserve"> Prevention </w:t>
      </w:r>
      <w:r w:rsidRPr="006826FD" w:rsidR="00820CBA">
        <w:rPr>
          <w:rFonts w:asciiTheme="minorHAnsi" w:hAnsiTheme="minorHAnsi" w:cstheme="minorHAnsi"/>
          <w:color w:val="auto"/>
          <w:sz w:val="22"/>
          <w:szCs w:val="22"/>
        </w:rPr>
        <w:t>for Local Health Departments</w:t>
      </w:r>
    </w:p>
    <w:p w:rsidRPr="001A29F3" w:rsidR="00F40D26" w:rsidP="1EE1375A" w:rsidRDefault="07EC2972" w14:paraId="4143EEE9" w14:textId="5777EF42">
      <w:pPr>
        <w:pStyle w:val="Default"/>
        <w:ind w:left="360"/>
        <w:rPr>
          <w:rFonts w:asciiTheme="minorHAnsi" w:hAnsiTheme="minorHAnsi" w:cstheme="minorHAnsi"/>
          <w:color w:val="auto"/>
          <w:sz w:val="22"/>
          <w:szCs w:val="22"/>
        </w:rPr>
      </w:pPr>
      <w:r w:rsidRPr="00C93E0E">
        <w:rPr>
          <w:rFonts w:asciiTheme="minorHAnsi" w:hAnsiTheme="minorHAnsi" w:cstheme="minorHAnsi"/>
          <w:b/>
          <w:bCs/>
          <w:color w:val="auto"/>
          <w:sz w:val="22"/>
          <w:szCs w:val="22"/>
        </w:rPr>
        <w:t xml:space="preserve">Application </w:t>
      </w:r>
      <w:r w:rsidRPr="00C93E0E" w:rsidR="461D6EA6">
        <w:rPr>
          <w:rFonts w:asciiTheme="minorHAnsi" w:hAnsiTheme="minorHAnsi" w:cstheme="minorHAnsi"/>
          <w:b/>
          <w:bCs/>
          <w:color w:val="auto"/>
          <w:sz w:val="22"/>
          <w:szCs w:val="22"/>
        </w:rPr>
        <w:t>Due Date and Time</w:t>
      </w:r>
      <w:r w:rsidRPr="001A29F3" w:rsidR="461D6EA6">
        <w:rPr>
          <w:rFonts w:asciiTheme="minorHAnsi" w:hAnsiTheme="minorHAnsi" w:cstheme="minorHAnsi"/>
          <w:color w:val="auto"/>
          <w:sz w:val="22"/>
          <w:szCs w:val="22"/>
        </w:rPr>
        <w:t xml:space="preserve">: </w:t>
      </w:r>
      <w:r w:rsidR="008E3833">
        <w:rPr>
          <w:rFonts w:asciiTheme="minorHAnsi" w:hAnsiTheme="minorHAnsi" w:cstheme="minorHAnsi"/>
          <w:color w:val="auto"/>
          <w:sz w:val="22"/>
          <w:szCs w:val="22"/>
        </w:rPr>
        <w:t>February 1</w:t>
      </w:r>
      <w:r w:rsidR="00074674">
        <w:rPr>
          <w:rFonts w:asciiTheme="minorHAnsi" w:hAnsiTheme="minorHAnsi" w:cstheme="minorHAnsi"/>
          <w:color w:val="auto"/>
          <w:sz w:val="22"/>
          <w:szCs w:val="22"/>
        </w:rPr>
        <w:t>8</w:t>
      </w:r>
      <w:r w:rsidRPr="001B411E" w:rsidR="00A350A5">
        <w:rPr>
          <w:rFonts w:asciiTheme="minorHAnsi" w:hAnsiTheme="minorHAnsi" w:cstheme="minorHAnsi"/>
          <w:color w:val="auto"/>
          <w:sz w:val="22"/>
          <w:szCs w:val="22"/>
          <w:vertAlign w:val="superscript"/>
        </w:rPr>
        <w:t>th</w:t>
      </w:r>
      <w:r w:rsidRPr="001B411E" w:rsidR="00A350A5">
        <w:rPr>
          <w:rFonts w:asciiTheme="minorHAnsi" w:hAnsiTheme="minorHAnsi" w:cstheme="minorHAnsi"/>
          <w:color w:val="auto"/>
          <w:sz w:val="22"/>
          <w:szCs w:val="22"/>
        </w:rPr>
        <w:t xml:space="preserve">, </w:t>
      </w:r>
      <w:r w:rsidRPr="001B411E" w:rsidR="001B411E">
        <w:rPr>
          <w:rFonts w:asciiTheme="minorHAnsi" w:hAnsiTheme="minorHAnsi" w:cstheme="minorHAnsi"/>
          <w:color w:val="auto"/>
          <w:sz w:val="22"/>
          <w:szCs w:val="22"/>
        </w:rPr>
        <w:t>2022,</w:t>
      </w:r>
      <w:r w:rsidRPr="001B411E" w:rsidR="00A350A5">
        <w:rPr>
          <w:rFonts w:asciiTheme="minorHAnsi" w:hAnsiTheme="minorHAnsi" w:cstheme="minorHAnsi"/>
          <w:color w:val="auto"/>
          <w:sz w:val="22"/>
          <w:szCs w:val="22"/>
        </w:rPr>
        <w:t xml:space="preserve"> by 5:00pm ET</w:t>
      </w:r>
    </w:p>
    <w:p w:rsidRPr="006826FD" w:rsidR="00F40D26" w:rsidP="00F40D26" w:rsidRDefault="00F40D26" w14:paraId="66313709" w14:textId="5AF820A9">
      <w:pPr>
        <w:pStyle w:val="Default"/>
        <w:ind w:left="360"/>
        <w:rPr>
          <w:rFonts w:asciiTheme="minorHAnsi" w:hAnsiTheme="minorHAnsi" w:cstheme="minorHAnsi"/>
          <w:color w:val="auto"/>
          <w:sz w:val="22"/>
          <w:szCs w:val="22"/>
        </w:rPr>
      </w:pPr>
      <w:r w:rsidRPr="00C93E0E">
        <w:rPr>
          <w:rFonts w:asciiTheme="minorHAnsi" w:hAnsiTheme="minorHAnsi" w:cstheme="minorHAnsi"/>
          <w:b/>
          <w:bCs/>
          <w:color w:val="auto"/>
          <w:sz w:val="22"/>
          <w:szCs w:val="22"/>
        </w:rPr>
        <w:t>Selection Announcement Date</w:t>
      </w:r>
      <w:r w:rsidRPr="001A29F3">
        <w:rPr>
          <w:rFonts w:asciiTheme="minorHAnsi" w:hAnsiTheme="minorHAnsi" w:cstheme="minorHAnsi"/>
          <w:color w:val="auto"/>
          <w:sz w:val="22"/>
          <w:szCs w:val="22"/>
        </w:rPr>
        <w:t>:</w:t>
      </w:r>
      <w:r w:rsidRPr="006826FD">
        <w:rPr>
          <w:rFonts w:asciiTheme="minorHAnsi" w:hAnsiTheme="minorHAnsi" w:cstheme="minorHAnsi"/>
          <w:color w:val="auto"/>
          <w:sz w:val="22"/>
          <w:szCs w:val="22"/>
        </w:rPr>
        <w:t xml:space="preserve">  </w:t>
      </w:r>
      <w:r w:rsidRPr="006826FD" w:rsidR="004D38AF">
        <w:rPr>
          <w:rFonts w:asciiTheme="minorHAnsi" w:hAnsiTheme="minorHAnsi" w:cstheme="minorHAnsi"/>
          <w:color w:val="auto"/>
          <w:sz w:val="22"/>
          <w:szCs w:val="22"/>
        </w:rPr>
        <w:t>February</w:t>
      </w:r>
      <w:r w:rsidRPr="006826FD" w:rsidR="00A350A5">
        <w:rPr>
          <w:rFonts w:asciiTheme="minorHAnsi" w:hAnsiTheme="minorHAnsi" w:cstheme="minorHAnsi"/>
          <w:color w:val="auto"/>
          <w:sz w:val="22"/>
          <w:szCs w:val="22"/>
        </w:rPr>
        <w:t xml:space="preserve"> </w:t>
      </w:r>
      <w:r w:rsidR="008E3833">
        <w:rPr>
          <w:rFonts w:asciiTheme="minorHAnsi" w:hAnsiTheme="minorHAnsi" w:cstheme="minorHAnsi"/>
          <w:color w:val="auto"/>
          <w:sz w:val="22"/>
          <w:szCs w:val="22"/>
        </w:rPr>
        <w:t>28</w:t>
      </w:r>
      <w:r w:rsidRPr="00CD015C" w:rsidR="008E3833">
        <w:rPr>
          <w:rFonts w:asciiTheme="minorHAnsi" w:hAnsiTheme="minorHAnsi" w:cstheme="minorHAnsi"/>
          <w:color w:val="auto"/>
          <w:sz w:val="22"/>
          <w:szCs w:val="22"/>
          <w:vertAlign w:val="superscript"/>
        </w:rPr>
        <w:t>th</w:t>
      </w:r>
      <w:r w:rsidRPr="006826FD" w:rsidR="00A350A5">
        <w:rPr>
          <w:rFonts w:asciiTheme="minorHAnsi" w:hAnsiTheme="minorHAnsi" w:cstheme="minorHAnsi"/>
          <w:color w:val="auto"/>
          <w:sz w:val="22"/>
          <w:szCs w:val="22"/>
        </w:rPr>
        <w:t>, 2022</w:t>
      </w:r>
      <w:r w:rsidRPr="006826FD" w:rsidR="004D38AF">
        <w:rPr>
          <w:rFonts w:asciiTheme="minorHAnsi" w:hAnsiTheme="minorHAnsi" w:cstheme="minorHAnsi"/>
          <w:color w:val="auto"/>
          <w:sz w:val="22"/>
          <w:szCs w:val="22"/>
        </w:rPr>
        <w:t xml:space="preserve"> </w:t>
      </w:r>
      <w:r w:rsidRPr="006826FD" w:rsidR="00537543">
        <w:rPr>
          <w:rFonts w:asciiTheme="minorHAnsi" w:hAnsiTheme="minorHAnsi" w:cstheme="minorHAnsi"/>
          <w:color w:val="auto"/>
          <w:sz w:val="22"/>
          <w:szCs w:val="22"/>
        </w:rPr>
        <w:t xml:space="preserve"> </w:t>
      </w:r>
    </w:p>
    <w:p w:rsidRPr="006826FD" w:rsidR="0089201C" w:rsidP="00F40D26" w:rsidRDefault="0089201C" w14:paraId="4AE49872" w14:textId="78ABCF3D">
      <w:pPr>
        <w:pStyle w:val="Default"/>
        <w:ind w:left="360"/>
        <w:rPr>
          <w:rFonts w:asciiTheme="minorHAnsi" w:hAnsiTheme="minorHAnsi" w:cstheme="minorHAnsi"/>
          <w:b/>
          <w:bCs/>
          <w:color w:val="auto"/>
          <w:sz w:val="22"/>
          <w:szCs w:val="22"/>
        </w:rPr>
      </w:pPr>
      <w:r w:rsidRPr="006826FD">
        <w:rPr>
          <w:rFonts w:asciiTheme="minorHAnsi" w:hAnsiTheme="minorHAnsi" w:cstheme="minorHAnsi"/>
          <w:b/>
          <w:bCs/>
          <w:color w:val="auto"/>
          <w:sz w:val="22"/>
          <w:szCs w:val="22"/>
        </w:rPr>
        <w:t>Source of Funding:</w:t>
      </w:r>
      <w:r w:rsidRPr="006826FD" w:rsidR="00537543">
        <w:rPr>
          <w:rFonts w:asciiTheme="minorHAnsi" w:hAnsiTheme="minorHAnsi" w:cstheme="minorHAnsi"/>
          <w:b/>
          <w:bCs/>
          <w:color w:val="auto"/>
          <w:sz w:val="22"/>
          <w:szCs w:val="22"/>
        </w:rPr>
        <w:t xml:space="preserve"> </w:t>
      </w:r>
      <w:r w:rsidRPr="00C93E0E" w:rsidR="00B70D24">
        <w:rPr>
          <w:rFonts w:asciiTheme="minorHAnsi" w:hAnsiTheme="minorHAnsi" w:cstheme="minorHAnsi"/>
          <w:sz w:val="22"/>
          <w:szCs w:val="22"/>
        </w:rPr>
        <w:t>CDC cooperative agreement</w:t>
      </w:r>
      <w:r w:rsidRPr="00C93E0E" w:rsidR="001F628A">
        <w:rPr>
          <w:rFonts w:asciiTheme="minorHAnsi" w:hAnsiTheme="minorHAnsi" w:cstheme="minorHAnsi"/>
          <w:sz w:val="22"/>
          <w:szCs w:val="22"/>
        </w:rPr>
        <w:t>, Strengthening Public Health Systems and Services through National Partnerships to Improve and Protect the Nation’s Health.</w:t>
      </w:r>
    </w:p>
    <w:p w:rsidRPr="006826FD" w:rsidR="0089201C" w:rsidP="00F40D26" w:rsidRDefault="0089201C" w14:paraId="762D2F80" w14:textId="652E392E">
      <w:pPr>
        <w:pStyle w:val="Default"/>
        <w:ind w:left="360"/>
        <w:rPr>
          <w:rFonts w:asciiTheme="minorHAnsi" w:hAnsiTheme="minorHAnsi" w:cstheme="minorHAnsi"/>
          <w:b/>
          <w:bCs/>
          <w:color w:val="auto"/>
          <w:sz w:val="22"/>
          <w:szCs w:val="22"/>
        </w:rPr>
      </w:pPr>
      <w:r w:rsidRPr="006826FD">
        <w:rPr>
          <w:rFonts w:asciiTheme="minorHAnsi" w:hAnsiTheme="minorHAnsi" w:cstheme="minorHAnsi"/>
          <w:b/>
          <w:bCs/>
          <w:color w:val="auto"/>
          <w:sz w:val="22"/>
          <w:szCs w:val="22"/>
        </w:rPr>
        <w:t>NOA Award No.:</w:t>
      </w:r>
      <w:r w:rsidRPr="006826FD" w:rsidR="00B70D24">
        <w:rPr>
          <w:rFonts w:asciiTheme="minorHAnsi" w:hAnsiTheme="minorHAnsi" w:cstheme="minorHAnsi"/>
          <w:b/>
          <w:bCs/>
          <w:color w:val="auto"/>
          <w:sz w:val="22"/>
          <w:szCs w:val="22"/>
        </w:rPr>
        <w:t xml:space="preserve"> </w:t>
      </w:r>
      <w:r w:rsidRPr="00C93E0E" w:rsidR="00B70D24">
        <w:rPr>
          <w:rFonts w:asciiTheme="minorHAnsi" w:hAnsiTheme="minorHAnsi" w:cstheme="minorHAnsi"/>
          <w:sz w:val="22"/>
          <w:szCs w:val="22"/>
        </w:rPr>
        <w:t>NU38OT000306-02-01</w:t>
      </w:r>
    </w:p>
    <w:p w:rsidRPr="006826FD" w:rsidR="00F40D26" w:rsidP="00F40D26" w:rsidRDefault="00F40D26" w14:paraId="09193EAC" w14:textId="0A59AA69">
      <w:pPr>
        <w:pStyle w:val="Default"/>
        <w:ind w:left="360"/>
        <w:rPr>
          <w:rFonts w:asciiTheme="minorHAnsi" w:hAnsiTheme="minorHAnsi" w:cstheme="minorHAnsi"/>
          <w:color w:val="auto"/>
          <w:sz w:val="22"/>
          <w:szCs w:val="22"/>
        </w:rPr>
      </w:pPr>
      <w:r w:rsidRPr="006826FD">
        <w:rPr>
          <w:rFonts w:asciiTheme="minorHAnsi" w:hAnsiTheme="minorHAnsi" w:cstheme="minorHAnsi"/>
          <w:b/>
          <w:bCs/>
          <w:color w:val="auto"/>
          <w:sz w:val="22"/>
          <w:szCs w:val="22"/>
        </w:rPr>
        <w:t>Maximum Funding Amount</w:t>
      </w:r>
      <w:r w:rsidRPr="006826FD">
        <w:rPr>
          <w:rFonts w:asciiTheme="minorHAnsi" w:hAnsiTheme="minorHAnsi" w:cstheme="minorHAnsi"/>
          <w:color w:val="auto"/>
          <w:sz w:val="22"/>
          <w:szCs w:val="22"/>
        </w:rPr>
        <w:t xml:space="preserve">:  </w:t>
      </w:r>
      <w:r w:rsidRPr="006826FD" w:rsidR="00357548">
        <w:rPr>
          <w:rFonts w:asciiTheme="minorHAnsi" w:hAnsiTheme="minorHAnsi" w:cstheme="minorHAnsi"/>
          <w:color w:val="auto"/>
          <w:sz w:val="22"/>
          <w:szCs w:val="22"/>
        </w:rPr>
        <w:t>$20,000</w:t>
      </w:r>
    </w:p>
    <w:p w:rsidRPr="006826FD" w:rsidR="00F40D26" w:rsidP="00F40D26" w:rsidRDefault="00F40D26" w14:paraId="2885FD44" w14:textId="1E24B335">
      <w:pPr>
        <w:pStyle w:val="Default"/>
        <w:ind w:left="360"/>
        <w:rPr>
          <w:rFonts w:asciiTheme="minorHAnsi" w:hAnsiTheme="minorHAnsi" w:cstheme="minorHAnsi"/>
          <w:color w:val="auto"/>
          <w:sz w:val="22"/>
          <w:szCs w:val="22"/>
        </w:rPr>
      </w:pPr>
      <w:r w:rsidRPr="006826FD">
        <w:rPr>
          <w:rFonts w:asciiTheme="minorHAnsi" w:hAnsiTheme="minorHAnsi" w:cstheme="minorHAnsi"/>
          <w:b/>
          <w:bCs/>
          <w:color w:val="auto"/>
          <w:sz w:val="22"/>
          <w:szCs w:val="22"/>
        </w:rPr>
        <w:t>Estimated Period of Performance</w:t>
      </w:r>
      <w:r w:rsidRPr="006826FD">
        <w:rPr>
          <w:rFonts w:asciiTheme="minorHAnsi" w:hAnsiTheme="minorHAnsi" w:cstheme="minorHAnsi"/>
          <w:color w:val="auto"/>
          <w:sz w:val="22"/>
          <w:szCs w:val="22"/>
        </w:rPr>
        <w:t xml:space="preserve">: </w:t>
      </w:r>
      <w:r w:rsidR="008E3833">
        <w:rPr>
          <w:rFonts w:asciiTheme="minorHAnsi" w:hAnsiTheme="minorHAnsi" w:cstheme="minorHAnsi"/>
          <w:color w:val="auto"/>
          <w:sz w:val="22"/>
          <w:szCs w:val="22"/>
        </w:rPr>
        <w:t>March</w:t>
      </w:r>
      <w:r w:rsidRPr="006826FD" w:rsidR="008E3833">
        <w:rPr>
          <w:rFonts w:asciiTheme="minorHAnsi" w:hAnsiTheme="minorHAnsi" w:cstheme="minorHAnsi"/>
          <w:color w:val="auto"/>
          <w:sz w:val="22"/>
          <w:szCs w:val="22"/>
        </w:rPr>
        <w:t xml:space="preserve"> </w:t>
      </w:r>
      <w:r w:rsidRPr="006826FD" w:rsidR="00714A4B">
        <w:rPr>
          <w:rFonts w:asciiTheme="minorHAnsi" w:hAnsiTheme="minorHAnsi" w:cstheme="minorHAnsi"/>
          <w:color w:val="auto"/>
          <w:sz w:val="22"/>
          <w:szCs w:val="22"/>
        </w:rPr>
        <w:t xml:space="preserve">2022 </w:t>
      </w:r>
      <w:r w:rsidRPr="006826FD" w:rsidR="001F628A">
        <w:rPr>
          <w:rFonts w:asciiTheme="minorHAnsi" w:hAnsiTheme="minorHAnsi" w:cstheme="minorHAnsi"/>
          <w:color w:val="auto"/>
          <w:sz w:val="22"/>
          <w:szCs w:val="22"/>
        </w:rPr>
        <w:t>–</w:t>
      </w:r>
      <w:r w:rsidRPr="006826FD" w:rsidR="00714A4B">
        <w:rPr>
          <w:rFonts w:asciiTheme="minorHAnsi" w:hAnsiTheme="minorHAnsi" w:cstheme="minorHAnsi"/>
          <w:color w:val="auto"/>
          <w:sz w:val="22"/>
          <w:szCs w:val="22"/>
        </w:rPr>
        <w:t xml:space="preserve"> </w:t>
      </w:r>
      <w:r w:rsidR="008E3833">
        <w:rPr>
          <w:rFonts w:asciiTheme="minorHAnsi" w:hAnsiTheme="minorHAnsi" w:cstheme="minorHAnsi"/>
          <w:color w:val="auto"/>
          <w:sz w:val="22"/>
          <w:szCs w:val="22"/>
        </w:rPr>
        <w:t>August</w:t>
      </w:r>
      <w:r w:rsidRPr="006826FD" w:rsidR="008E3833">
        <w:rPr>
          <w:rFonts w:asciiTheme="minorHAnsi" w:hAnsiTheme="minorHAnsi" w:cstheme="minorHAnsi"/>
          <w:color w:val="auto"/>
          <w:sz w:val="22"/>
          <w:szCs w:val="22"/>
        </w:rPr>
        <w:t xml:space="preserve"> </w:t>
      </w:r>
      <w:r w:rsidRPr="006826FD" w:rsidR="001F628A">
        <w:rPr>
          <w:rFonts w:asciiTheme="minorHAnsi" w:hAnsiTheme="minorHAnsi" w:cstheme="minorHAnsi"/>
          <w:color w:val="auto"/>
          <w:sz w:val="22"/>
          <w:szCs w:val="22"/>
        </w:rPr>
        <w:t xml:space="preserve">31, </w:t>
      </w:r>
      <w:r w:rsidRPr="006826FD" w:rsidR="00B55747">
        <w:rPr>
          <w:rFonts w:asciiTheme="minorHAnsi" w:hAnsiTheme="minorHAnsi" w:cstheme="minorHAnsi"/>
          <w:color w:val="auto"/>
          <w:sz w:val="22"/>
          <w:szCs w:val="22"/>
        </w:rPr>
        <w:t>2022</w:t>
      </w:r>
    </w:p>
    <w:p w:rsidRPr="00C93E0E" w:rsidR="00F40D26" w:rsidP="00B32DD1" w:rsidRDefault="00F40D26" w14:paraId="3751D6B2" w14:textId="038896F4">
      <w:pPr>
        <w:pStyle w:val="Default"/>
        <w:ind w:left="360"/>
        <w:rPr>
          <w:rFonts w:asciiTheme="minorHAnsi" w:hAnsiTheme="minorHAnsi" w:cstheme="minorHAnsi"/>
          <w:sz w:val="22"/>
          <w:szCs w:val="22"/>
        </w:rPr>
      </w:pPr>
      <w:r w:rsidRPr="006826FD">
        <w:rPr>
          <w:rFonts w:asciiTheme="minorHAnsi" w:hAnsiTheme="minorHAnsi" w:cstheme="minorHAnsi"/>
          <w:b/>
          <w:bCs/>
          <w:color w:val="auto"/>
          <w:sz w:val="22"/>
          <w:szCs w:val="22"/>
        </w:rPr>
        <w:t>Point of Contact for Questions Regarding this Application</w:t>
      </w:r>
      <w:r w:rsidRPr="006826FD">
        <w:rPr>
          <w:rFonts w:asciiTheme="minorHAnsi" w:hAnsiTheme="minorHAnsi" w:cstheme="minorHAnsi"/>
          <w:color w:val="auto"/>
          <w:sz w:val="22"/>
          <w:szCs w:val="22"/>
        </w:rPr>
        <w:t xml:space="preserve">: </w:t>
      </w:r>
      <w:r w:rsidR="008E3833">
        <w:rPr>
          <w:rFonts w:asciiTheme="minorHAnsi" w:hAnsiTheme="minorHAnsi" w:cstheme="minorHAnsi"/>
          <w:color w:val="auto"/>
          <w:sz w:val="22"/>
          <w:szCs w:val="22"/>
        </w:rPr>
        <w:t>Amie Myrick</w:t>
      </w:r>
      <w:r w:rsidR="00F4103A">
        <w:rPr>
          <w:rFonts w:asciiTheme="minorHAnsi" w:hAnsiTheme="minorHAnsi" w:cstheme="minorHAnsi"/>
          <w:color w:val="auto"/>
          <w:sz w:val="22"/>
          <w:szCs w:val="22"/>
        </w:rPr>
        <w:t xml:space="preserve">; </w:t>
      </w:r>
      <w:r w:rsidR="008E3833">
        <w:t>amyrick@naccho.org</w:t>
      </w:r>
    </w:p>
    <w:p w:rsidRPr="00C93E0E" w:rsidR="0089201C" w:rsidP="00F40D26" w:rsidRDefault="0089201C" w14:paraId="20C9D6F8" w14:textId="54652E44">
      <w:pPr>
        <w:pStyle w:val="Default"/>
        <w:ind w:firstLine="360"/>
        <w:rPr>
          <w:rFonts w:asciiTheme="minorHAnsi" w:hAnsiTheme="minorHAnsi" w:cstheme="minorHAnsi"/>
          <w:b/>
          <w:bCs/>
          <w:sz w:val="22"/>
          <w:szCs w:val="22"/>
        </w:rPr>
      </w:pPr>
      <w:r w:rsidRPr="00C93E0E">
        <w:rPr>
          <w:rFonts w:asciiTheme="minorHAnsi" w:hAnsiTheme="minorHAnsi" w:cstheme="minorHAnsi"/>
          <w:b/>
          <w:bCs/>
          <w:sz w:val="22"/>
          <w:szCs w:val="22"/>
        </w:rPr>
        <w:t xml:space="preserve">Special condition of this award: </w:t>
      </w:r>
      <w:r w:rsidRPr="00C93E0E">
        <w:rPr>
          <w:rFonts w:asciiTheme="minorHAnsi" w:hAnsiTheme="minorHAnsi" w:cstheme="minorHAnsi"/>
          <w:sz w:val="22"/>
          <w:szCs w:val="22"/>
        </w:rPr>
        <w:t xml:space="preserve">see </w:t>
      </w:r>
      <w:r w:rsidRPr="00C93E0E" w:rsidR="00243BA8">
        <w:rPr>
          <w:rFonts w:asciiTheme="minorHAnsi" w:hAnsiTheme="minorHAnsi" w:cstheme="minorHAnsi"/>
          <w:sz w:val="22"/>
          <w:szCs w:val="22"/>
        </w:rPr>
        <w:t>Appendix A, B, and C</w:t>
      </w:r>
    </w:p>
    <w:p w:rsidR="00F40D26" w:rsidP="00F40D26" w:rsidRDefault="00F40D26" w14:paraId="59A63EF5" w14:textId="77777777">
      <w:pPr>
        <w:pStyle w:val="Default"/>
        <w:rPr>
          <w:b/>
          <w:bCs/>
          <w:smallCaps/>
          <w:color w:val="215868" w:themeColor="accent5" w:themeShade="80"/>
          <w:sz w:val="28"/>
          <w:szCs w:val="28"/>
          <w:u w:val="single"/>
        </w:rPr>
      </w:pPr>
    </w:p>
    <w:p w:rsidRPr="00C80450" w:rsidR="00057287" w:rsidP="00057287" w:rsidRDefault="00202829" w14:paraId="167B9A7E" w14:textId="57A003BD">
      <w:pPr>
        <w:pStyle w:val="Default"/>
        <w:rPr>
          <w:rFonts w:asciiTheme="minorHAnsi" w:hAnsiTheme="minorHAnsi" w:cstheme="minorBidi"/>
          <w:color w:val="auto"/>
          <w:sz w:val="20"/>
          <w:szCs w:val="20"/>
        </w:rPr>
      </w:pPr>
      <w:r>
        <w:rPr>
          <w:b/>
          <w:bCs/>
          <w:smallCaps/>
          <w:color w:val="215868" w:themeColor="accent5" w:themeShade="80"/>
          <w:sz w:val="28"/>
          <w:szCs w:val="28"/>
          <w:u w:val="single"/>
        </w:rPr>
        <w:t>Overview</w:t>
      </w:r>
    </w:p>
    <w:p w:rsidR="0067689E" w:rsidP="0067689E" w:rsidRDefault="0067689E" w14:paraId="14A8073A" w14:textId="10E1CE2B">
      <w:pPr>
        <w:pStyle w:val="Default"/>
        <w:rPr>
          <w:iCs/>
          <w:sz w:val="22"/>
          <w:szCs w:val="22"/>
        </w:rPr>
      </w:pPr>
      <w:r w:rsidRPr="009E4C32">
        <w:rPr>
          <w:iCs/>
          <w:sz w:val="22"/>
          <w:szCs w:val="22"/>
        </w:rPr>
        <w:t>NACCHO is the voice of the approximately 2,800 local health departments (LHDs) across the country. These city, county, metropolitan, district, and Tribal departments work to protect and improve the health of all people and all communities. NACCHO provides resources to help LHD leaders develop public health policies and programs to ensure that communities have access to the vital programs and services people need to keep them protected from disease and disaster. Additionally, NACCHO advocates on behalf of LHDs with federal policymakers for adequate resources, appropriate public health legislation, and sensible policies to address the myriad of challenges facing communities</w:t>
      </w:r>
      <w:r w:rsidR="00D14270">
        <w:rPr>
          <w:iCs/>
          <w:sz w:val="22"/>
          <w:szCs w:val="22"/>
        </w:rPr>
        <w:t>.</w:t>
      </w:r>
      <w:r>
        <w:rPr>
          <w:iCs/>
          <w:sz w:val="22"/>
          <w:szCs w:val="22"/>
        </w:rPr>
        <w:t xml:space="preserve"> </w:t>
      </w:r>
    </w:p>
    <w:p w:rsidR="0067689E" w:rsidP="1EE1375A" w:rsidRDefault="0067689E" w14:paraId="185AB6A7" w14:textId="77777777">
      <w:pPr>
        <w:pStyle w:val="Default"/>
        <w:rPr>
          <w:rFonts w:asciiTheme="minorHAnsi" w:hAnsiTheme="minorHAnsi" w:cstheme="minorBidi"/>
          <w:color w:val="auto"/>
          <w:sz w:val="22"/>
          <w:szCs w:val="22"/>
        </w:rPr>
      </w:pPr>
    </w:p>
    <w:p w:rsidR="00074674" w:rsidP="001A1EDE" w:rsidRDefault="25E4916F" w14:paraId="191E8269" w14:textId="66BD7FB6">
      <w:pPr>
        <w:pStyle w:val="Default"/>
        <w:rPr>
          <w:rStyle w:val="cf01"/>
          <w:rFonts w:asciiTheme="minorHAnsi" w:hAnsiTheme="minorHAnsi" w:cstheme="minorBidi"/>
          <w:sz w:val="22"/>
          <w:szCs w:val="22"/>
        </w:rPr>
      </w:pPr>
      <w:r w:rsidRPr="1EE1375A">
        <w:rPr>
          <w:rFonts w:asciiTheme="minorHAnsi" w:hAnsiTheme="minorHAnsi" w:cstheme="minorBidi"/>
          <w:color w:val="auto"/>
          <w:sz w:val="22"/>
          <w:szCs w:val="22"/>
        </w:rPr>
        <w:t>With support from</w:t>
      </w:r>
      <w:r w:rsidRPr="1EE1375A" w:rsidR="6E3E58DA">
        <w:rPr>
          <w:rFonts w:asciiTheme="minorHAnsi" w:hAnsiTheme="minorHAnsi" w:cstheme="minorBidi"/>
          <w:color w:val="auto"/>
          <w:sz w:val="22"/>
          <w:szCs w:val="22"/>
        </w:rPr>
        <w:t xml:space="preserve"> the</w:t>
      </w:r>
      <w:r w:rsidRPr="1EE1375A">
        <w:rPr>
          <w:rFonts w:asciiTheme="minorHAnsi" w:hAnsiTheme="minorHAnsi" w:cstheme="minorBidi"/>
          <w:color w:val="auto"/>
          <w:sz w:val="22"/>
          <w:szCs w:val="22"/>
        </w:rPr>
        <w:t xml:space="preserve"> </w:t>
      </w:r>
      <w:r w:rsidRPr="1EE1375A" w:rsidR="6E3E58DA">
        <w:rPr>
          <w:rFonts w:asciiTheme="minorHAnsi" w:hAnsiTheme="minorHAnsi" w:cstheme="minorBidi"/>
          <w:color w:val="auto"/>
          <w:sz w:val="22"/>
          <w:szCs w:val="22"/>
        </w:rPr>
        <w:t>Centers for Disease Control and Prevention (CDC)</w:t>
      </w:r>
      <w:r w:rsidRPr="1EE1375A">
        <w:rPr>
          <w:rFonts w:asciiTheme="minorHAnsi" w:hAnsiTheme="minorHAnsi" w:cstheme="minorBidi"/>
          <w:color w:val="auto"/>
          <w:sz w:val="22"/>
          <w:szCs w:val="22"/>
        </w:rPr>
        <w:t>,</w:t>
      </w:r>
      <w:r w:rsidRPr="1EE1375A" w:rsidR="6347EEDC">
        <w:rPr>
          <w:rFonts w:asciiTheme="minorHAnsi" w:hAnsiTheme="minorHAnsi" w:cstheme="minorBidi"/>
          <w:color w:val="auto"/>
          <w:sz w:val="22"/>
          <w:szCs w:val="22"/>
        </w:rPr>
        <w:t xml:space="preserve"> NACCHO</w:t>
      </w:r>
      <w:r w:rsidRPr="1EE1375A">
        <w:rPr>
          <w:rFonts w:asciiTheme="minorHAnsi" w:hAnsiTheme="minorHAnsi" w:cstheme="minorBidi"/>
          <w:color w:val="auto"/>
          <w:sz w:val="22"/>
          <w:szCs w:val="22"/>
        </w:rPr>
        <w:t xml:space="preserve"> is pleased to offer a funding opportunity for </w:t>
      </w:r>
      <w:r w:rsidRPr="1EE1375A" w:rsidR="4EF5055F">
        <w:rPr>
          <w:rFonts w:asciiTheme="minorHAnsi" w:hAnsiTheme="minorHAnsi" w:cstheme="minorBidi"/>
          <w:color w:val="auto"/>
          <w:sz w:val="22"/>
          <w:szCs w:val="22"/>
        </w:rPr>
        <w:t xml:space="preserve">the </w:t>
      </w:r>
      <w:r w:rsidRPr="00CD015C" w:rsidR="1EC75EC0">
        <w:rPr>
          <w:rFonts w:asciiTheme="minorHAnsi" w:hAnsiTheme="minorHAnsi" w:cstheme="minorBidi"/>
          <w:color w:val="auto"/>
          <w:sz w:val="22"/>
          <w:szCs w:val="22"/>
        </w:rPr>
        <w:t>Strengthening</w:t>
      </w:r>
      <w:r w:rsidRPr="00CD015C" w:rsidR="4EF5055F">
        <w:rPr>
          <w:rFonts w:asciiTheme="minorHAnsi" w:hAnsiTheme="minorHAnsi" w:cstheme="minorBidi"/>
          <w:color w:val="auto"/>
          <w:sz w:val="22"/>
          <w:szCs w:val="22"/>
        </w:rPr>
        <w:t xml:space="preserve"> Capacity in Suicide, Overdose, and Adverse Childhood Experiences (ACEs) </w:t>
      </w:r>
      <w:r w:rsidRPr="00CD015C" w:rsidR="15B658D3">
        <w:rPr>
          <w:rFonts w:asciiTheme="minorHAnsi" w:hAnsiTheme="minorHAnsi" w:cstheme="minorBidi"/>
          <w:color w:val="auto"/>
          <w:sz w:val="22"/>
          <w:szCs w:val="22"/>
        </w:rPr>
        <w:t>P</w:t>
      </w:r>
      <w:r w:rsidRPr="00CD015C" w:rsidR="4EF5055F">
        <w:rPr>
          <w:rFonts w:asciiTheme="minorHAnsi" w:hAnsiTheme="minorHAnsi" w:cstheme="minorBidi"/>
          <w:color w:val="auto"/>
          <w:sz w:val="22"/>
          <w:szCs w:val="22"/>
        </w:rPr>
        <w:t>revention</w:t>
      </w:r>
      <w:r w:rsidRPr="00CD015C" w:rsidR="0057309C">
        <w:rPr>
          <w:rFonts w:asciiTheme="minorHAnsi" w:hAnsiTheme="minorHAnsi" w:cstheme="minorBidi"/>
          <w:color w:val="auto"/>
          <w:sz w:val="22"/>
          <w:szCs w:val="22"/>
        </w:rPr>
        <w:t xml:space="preserve"> for Local Health Departments</w:t>
      </w:r>
      <w:r w:rsidRPr="00CD015C" w:rsidR="4EF5055F">
        <w:rPr>
          <w:rFonts w:asciiTheme="minorHAnsi" w:hAnsiTheme="minorHAnsi" w:cstheme="minorBidi"/>
          <w:color w:val="auto"/>
          <w:sz w:val="22"/>
          <w:szCs w:val="22"/>
        </w:rPr>
        <w:t xml:space="preserve"> project.</w:t>
      </w:r>
      <w:r w:rsidRPr="00C93E0E" w:rsidR="4EF5055F">
        <w:rPr>
          <w:rFonts w:asciiTheme="minorHAnsi" w:hAnsiTheme="minorHAnsi" w:cstheme="minorBidi"/>
          <w:color w:val="auto"/>
          <w:sz w:val="22"/>
          <w:szCs w:val="22"/>
        </w:rPr>
        <w:t xml:space="preserve"> </w:t>
      </w:r>
      <w:r w:rsidRPr="001A1EDE" w:rsidR="001A1EDE">
        <w:rPr>
          <w:color w:val="auto"/>
          <w:sz w:val="22"/>
          <w:szCs w:val="22"/>
        </w:rPr>
        <w:t xml:space="preserve"> </w:t>
      </w:r>
      <w:r w:rsidRPr="004007FF" w:rsidR="001F346B">
        <w:rPr>
          <w:b/>
          <w:bCs/>
          <w:color w:val="auto"/>
          <w:sz w:val="22"/>
          <w:szCs w:val="22"/>
        </w:rPr>
        <w:t>Approximately 10 awards of $20,000 each will be available.</w:t>
      </w:r>
      <w:r w:rsidR="001F346B">
        <w:rPr>
          <w:color w:val="auto"/>
          <w:sz w:val="22"/>
          <w:szCs w:val="22"/>
        </w:rPr>
        <w:t xml:space="preserve"> </w:t>
      </w:r>
      <w:r w:rsidR="00074674">
        <w:rPr>
          <w:color w:val="auto"/>
          <w:sz w:val="22"/>
          <w:szCs w:val="22"/>
        </w:rPr>
        <w:t xml:space="preserve">NACCHO aims to award up to </w:t>
      </w:r>
      <w:r w:rsidR="004007FF">
        <w:rPr>
          <w:color w:val="auto"/>
          <w:sz w:val="22"/>
          <w:szCs w:val="22"/>
        </w:rPr>
        <w:t xml:space="preserve">3 LHDs serving large jurisdictions (&gt;500,000 population served), 4 LHDs serving medium jurisdictions (50,000-500,000 population served), and 3 LHDs serving small jurisdictions (&lt;50,000 population served). </w:t>
      </w:r>
      <w:r w:rsidR="00C77072">
        <w:rPr>
          <w:color w:val="auto"/>
          <w:sz w:val="22"/>
          <w:szCs w:val="22"/>
        </w:rPr>
        <w:t xml:space="preserve">NACCHO will </w:t>
      </w:r>
      <w:r w:rsidRPr="1EE1375A" w:rsidR="0098633E">
        <w:rPr>
          <w:rStyle w:val="cf01"/>
          <w:rFonts w:asciiTheme="minorHAnsi" w:hAnsiTheme="minorHAnsi" w:cstheme="minorBidi"/>
          <w:sz w:val="22"/>
          <w:szCs w:val="22"/>
        </w:rPr>
        <w:t xml:space="preserve">consider geographic distribution, jurisdictional characteristics, and population size served to ensure diversity in </w:t>
      </w:r>
      <w:r w:rsidR="00882749">
        <w:rPr>
          <w:rStyle w:val="cf01"/>
          <w:rFonts w:asciiTheme="minorHAnsi" w:hAnsiTheme="minorHAnsi" w:cstheme="minorBidi"/>
          <w:sz w:val="22"/>
          <w:szCs w:val="22"/>
        </w:rPr>
        <w:t>LHDs</w:t>
      </w:r>
      <w:r w:rsidRPr="1EE1375A" w:rsidR="0098633E">
        <w:rPr>
          <w:rStyle w:val="cf01"/>
          <w:rFonts w:asciiTheme="minorHAnsi" w:hAnsiTheme="minorHAnsi" w:cstheme="minorBidi"/>
          <w:sz w:val="22"/>
          <w:szCs w:val="22"/>
        </w:rPr>
        <w:t xml:space="preserve"> selected. </w:t>
      </w:r>
    </w:p>
    <w:p w:rsidR="00074674" w:rsidP="001A1EDE" w:rsidRDefault="00074674" w14:paraId="7647CBFE" w14:textId="77777777">
      <w:pPr>
        <w:pStyle w:val="Default"/>
        <w:rPr>
          <w:rStyle w:val="cf01"/>
          <w:rFonts w:asciiTheme="minorHAnsi" w:hAnsiTheme="minorHAnsi" w:cstheme="minorBidi"/>
          <w:sz w:val="22"/>
          <w:szCs w:val="22"/>
        </w:rPr>
      </w:pPr>
    </w:p>
    <w:p w:rsidRPr="009E4C32" w:rsidR="001A1EDE" w:rsidP="001A1EDE" w:rsidRDefault="001F346B" w14:paraId="58DFA387" w14:textId="217A02E4">
      <w:pPr>
        <w:pStyle w:val="Default"/>
        <w:rPr>
          <w:color w:val="1F497D" w:themeColor="text2"/>
          <w:sz w:val="22"/>
          <w:szCs w:val="22"/>
        </w:rPr>
      </w:pPr>
      <w:r>
        <w:rPr>
          <w:color w:val="auto"/>
          <w:sz w:val="22"/>
          <w:szCs w:val="22"/>
        </w:rPr>
        <w:t xml:space="preserve">Selections will be made </w:t>
      </w:r>
      <w:r w:rsidR="00805B4A">
        <w:rPr>
          <w:color w:val="auto"/>
          <w:sz w:val="22"/>
          <w:szCs w:val="22"/>
        </w:rPr>
        <w:t xml:space="preserve">on or around February </w:t>
      </w:r>
      <w:r w:rsidR="008E3833">
        <w:rPr>
          <w:color w:val="auto"/>
          <w:sz w:val="22"/>
          <w:szCs w:val="22"/>
        </w:rPr>
        <w:t>28</w:t>
      </w:r>
      <w:r w:rsidRPr="00CD015C" w:rsidR="008E3833">
        <w:rPr>
          <w:color w:val="auto"/>
          <w:sz w:val="22"/>
          <w:szCs w:val="22"/>
          <w:vertAlign w:val="superscript"/>
        </w:rPr>
        <w:t>th</w:t>
      </w:r>
      <w:r w:rsidR="00805B4A">
        <w:rPr>
          <w:color w:val="auto"/>
          <w:sz w:val="22"/>
          <w:szCs w:val="22"/>
        </w:rPr>
        <w:t xml:space="preserve">, </w:t>
      </w:r>
      <w:r w:rsidR="00D806EA">
        <w:rPr>
          <w:color w:val="auto"/>
          <w:sz w:val="22"/>
          <w:szCs w:val="22"/>
        </w:rPr>
        <w:t>2022,</w:t>
      </w:r>
      <w:r w:rsidR="009707B0">
        <w:rPr>
          <w:color w:val="auto"/>
          <w:sz w:val="22"/>
          <w:szCs w:val="22"/>
        </w:rPr>
        <w:t xml:space="preserve"> and the project period will run from the date of contract execution to July 31, 2022. </w:t>
      </w:r>
      <w:r w:rsidR="00E00ECC">
        <w:rPr>
          <w:color w:val="auto"/>
          <w:sz w:val="22"/>
          <w:szCs w:val="22"/>
        </w:rPr>
        <w:t>Contingent on CDC approving a no-cost extension, the project may continue (with a contract modification) until August 31</w:t>
      </w:r>
      <w:r w:rsidRPr="001D0657" w:rsidR="00E00ECC">
        <w:rPr>
          <w:color w:val="auto"/>
          <w:sz w:val="22"/>
          <w:szCs w:val="22"/>
          <w:vertAlign w:val="superscript"/>
        </w:rPr>
        <w:t>st</w:t>
      </w:r>
      <w:r w:rsidR="00E00ECC">
        <w:rPr>
          <w:color w:val="auto"/>
          <w:sz w:val="22"/>
          <w:szCs w:val="22"/>
        </w:rPr>
        <w:t xml:space="preserve">, 2022. </w:t>
      </w:r>
      <w:r w:rsidR="009707B0">
        <w:rPr>
          <w:color w:val="auto"/>
          <w:sz w:val="22"/>
          <w:szCs w:val="22"/>
        </w:rPr>
        <w:t xml:space="preserve">Applications must be submitted no later than </w:t>
      </w:r>
      <w:r w:rsidR="008E3833">
        <w:rPr>
          <w:color w:val="auto"/>
          <w:sz w:val="22"/>
          <w:szCs w:val="22"/>
        </w:rPr>
        <w:t>February 1</w:t>
      </w:r>
      <w:r w:rsidR="00074674">
        <w:rPr>
          <w:color w:val="auto"/>
          <w:sz w:val="22"/>
          <w:szCs w:val="22"/>
        </w:rPr>
        <w:t>8</w:t>
      </w:r>
      <w:r w:rsidRPr="00CD015C" w:rsidR="009707B0">
        <w:rPr>
          <w:color w:val="auto"/>
          <w:sz w:val="22"/>
          <w:szCs w:val="22"/>
          <w:vertAlign w:val="superscript"/>
        </w:rPr>
        <w:t>th</w:t>
      </w:r>
      <w:r w:rsidR="009707B0">
        <w:rPr>
          <w:color w:val="auto"/>
          <w:sz w:val="22"/>
          <w:szCs w:val="22"/>
        </w:rPr>
        <w:t xml:space="preserve">, </w:t>
      </w:r>
      <w:r w:rsidR="00D806EA">
        <w:rPr>
          <w:color w:val="auto"/>
          <w:sz w:val="22"/>
          <w:szCs w:val="22"/>
        </w:rPr>
        <w:t>2022,</w:t>
      </w:r>
      <w:r w:rsidR="009707B0">
        <w:rPr>
          <w:color w:val="auto"/>
          <w:sz w:val="22"/>
          <w:szCs w:val="22"/>
        </w:rPr>
        <w:t xml:space="preserve"> by 5:00 PM Eastern Time. </w:t>
      </w:r>
      <w:r w:rsidRPr="00E67858" w:rsidR="001A1EDE">
        <w:rPr>
          <w:b/>
          <w:bCs/>
          <w:color w:val="auto"/>
          <w:sz w:val="22"/>
          <w:szCs w:val="22"/>
        </w:rPr>
        <w:t>This will be a fixed-price, deliverables-based contract.</w:t>
      </w:r>
      <w:r w:rsidR="001A1EDE">
        <w:rPr>
          <w:color w:val="auto"/>
          <w:sz w:val="22"/>
          <w:szCs w:val="22"/>
        </w:rPr>
        <w:t xml:space="preserve"> </w:t>
      </w:r>
      <w:r w:rsidR="00683C57">
        <w:rPr>
          <w:color w:val="auto"/>
          <w:sz w:val="22"/>
          <w:szCs w:val="22"/>
        </w:rPr>
        <w:t xml:space="preserve"> All necessary information regarding the project and application process may be found in this Request for Application (RFA). </w:t>
      </w:r>
      <w:r w:rsidRPr="1EE1375A" w:rsidR="001A1EDE">
        <w:rPr>
          <w:color w:val="auto"/>
          <w:sz w:val="22"/>
          <w:szCs w:val="22"/>
        </w:rPr>
        <w:t xml:space="preserve">Applicants may pose individual questions to NACCHO at any point during the application process by e-mailing </w:t>
      </w:r>
      <w:r w:rsidR="008D61F8">
        <w:rPr>
          <w:color w:val="auto"/>
          <w:sz w:val="22"/>
          <w:szCs w:val="22"/>
        </w:rPr>
        <w:t xml:space="preserve">the Injury and Violence Prevention Team </w:t>
      </w:r>
      <w:r w:rsidR="00D31A35">
        <w:rPr>
          <w:color w:val="auto"/>
          <w:sz w:val="22"/>
          <w:szCs w:val="22"/>
        </w:rPr>
        <w:t>at IVP@naccho.org</w:t>
      </w:r>
      <w:r w:rsidRPr="1EE1375A" w:rsidR="001A1EDE">
        <w:rPr>
          <w:color w:val="1F497D" w:themeColor="text2"/>
          <w:sz w:val="22"/>
          <w:szCs w:val="22"/>
        </w:rPr>
        <w:t xml:space="preserve">. </w:t>
      </w:r>
    </w:p>
    <w:p w:rsidR="008E3826" w:rsidP="1EE1375A" w:rsidRDefault="008E3826" w14:paraId="53EF88B1" w14:textId="169149C9">
      <w:pPr>
        <w:pStyle w:val="Default"/>
        <w:rPr>
          <w:rFonts w:asciiTheme="minorHAnsi" w:hAnsiTheme="minorHAnsi" w:cstheme="minorBidi"/>
          <w:color w:val="auto"/>
          <w:sz w:val="22"/>
          <w:szCs w:val="22"/>
        </w:rPr>
      </w:pPr>
    </w:p>
    <w:p w:rsidRPr="00C80450" w:rsidR="00CC433A" w:rsidP="00C80450" w:rsidRDefault="00CC433A" w14:paraId="48E8DFF8" w14:textId="5574B436">
      <w:pPr>
        <w:pStyle w:val="Heading3"/>
      </w:pPr>
      <w:r w:rsidRPr="00C80450">
        <w:t>Background</w:t>
      </w:r>
    </w:p>
    <w:p w:rsidRPr="009E4C32" w:rsidR="000073D9" w:rsidP="1EE1375A" w:rsidRDefault="21520CE3" w14:paraId="58ABA385" w14:textId="7CC266A6">
      <w:pPr>
        <w:pStyle w:val="Default"/>
        <w:rPr>
          <w:rFonts w:asciiTheme="minorHAnsi" w:hAnsiTheme="minorHAnsi" w:cstheme="minorBidi"/>
          <w:color w:val="auto"/>
          <w:sz w:val="22"/>
          <w:szCs w:val="22"/>
        </w:rPr>
      </w:pPr>
      <w:r w:rsidRPr="1EE1375A">
        <w:rPr>
          <w:rFonts w:asciiTheme="minorHAnsi" w:hAnsiTheme="minorHAnsi" w:cstheme="minorBidi"/>
          <w:color w:val="auto"/>
          <w:sz w:val="22"/>
          <w:szCs w:val="22"/>
        </w:rPr>
        <w:t xml:space="preserve">NACCHO, in collaboration with the </w:t>
      </w:r>
      <w:r w:rsidRPr="1EE1375A" w:rsidR="7279AD90">
        <w:rPr>
          <w:rFonts w:asciiTheme="minorHAnsi" w:hAnsiTheme="minorHAnsi" w:cstheme="minorBidi"/>
          <w:color w:val="auto"/>
          <w:sz w:val="22"/>
          <w:szCs w:val="22"/>
        </w:rPr>
        <w:t xml:space="preserve">Association of State and </w:t>
      </w:r>
      <w:r w:rsidRPr="1EE1375A" w:rsidR="2E5EBA57">
        <w:rPr>
          <w:rFonts w:asciiTheme="minorHAnsi" w:hAnsiTheme="minorHAnsi" w:cstheme="minorBidi"/>
          <w:color w:val="auto"/>
          <w:sz w:val="22"/>
          <w:szCs w:val="22"/>
        </w:rPr>
        <w:t>Territorial</w:t>
      </w:r>
      <w:r w:rsidRPr="1EE1375A" w:rsidR="7279AD90">
        <w:rPr>
          <w:rFonts w:asciiTheme="minorHAnsi" w:hAnsiTheme="minorHAnsi" w:cstheme="minorBidi"/>
          <w:color w:val="auto"/>
          <w:sz w:val="22"/>
          <w:szCs w:val="22"/>
        </w:rPr>
        <w:t xml:space="preserve"> Health Officials</w:t>
      </w:r>
      <w:r w:rsidRPr="1EE1375A" w:rsidR="2E5EBA57">
        <w:rPr>
          <w:rFonts w:asciiTheme="minorHAnsi" w:hAnsiTheme="minorHAnsi" w:cstheme="minorBidi"/>
          <w:color w:val="auto"/>
          <w:sz w:val="22"/>
          <w:szCs w:val="22"/>
        </w:rPr>
        <w:t xml:space="preserve"> and with funding from the CDC</w:t>
      </w:r>
      <w:r w:rsidR="004821D1">
        <w:rPr>
          <w:rFonts w:asciiTheme="minorHAnsi" w:hAnsiTheme="minorHAnsi" w:cstheme="minorBidi"/>
          <w:color w:val="auto"/>
          <w:sz w:val="22"/>
          <w:szCs w:val="22"/>
        </w:rPr>
        <w:t>,</w:t>
      </w:r>
      <w:r w:rsidRPr="1EE1375A" w:rsidR="754C0413">
        <w:rPr>
          <w:rFonts w:asciiTheme="minorHAnsi" w:hAnsiTheme="minorHAnsi" w:cstheme="minorBidi"/>
          <w:color w:val="auto"/>
          <w:sz w:val="22"/>
          <w:szCs w:val="22"/>
        </w:rPr>
        <w:t xml:space="preserve"> </w:t>
      </w:r>
      <w:r w:rsidRPr="1EE1375A" w:rsidR="3106BCB0">
        <w:rPr>
          <w:rFonts w:asciiTheme="minorHAnsi" w:hAnsiTheme="minorHAnsi" w:cstheme="minorBidi"/>
          <w:color w:val="auto"/>
          <w:sz w:val="22"/>
          <w:szCs w:val="22"/>
        </w:rPr>
        <w:t xml:space="preserve">recently </w:t>
      </w:r>
      <w:r w:rsidRPr="1EE1375A" w:rsidR="754C0413">
        <w:rPr>
          <w:rFonts w:asciiTheme="minorHAnsi" w:hAnsiTheme="minorHAnsi" w:cstheme="minorBidi"/>
          <w:color w:val="auto"/>
          <w:sz w:val="22"/>
          <w:szCs w:val="22"/>
        </w:rPr>
        <w:t>developed the Suicide, Overdose, and Adverse Childhood Experiences (ACEs) Prevention Capacity Assessment Tool</w:t>
      </w:r>
      <w:r w:rsidRPr="1EE1375A" w:rsidR="0CD62FCB">
        <w:rPr>
          <w:rFonts w:asciiTheme="minorHAnsi" w:hAnsiTheme="minorHAnsi" w:cstheme="minorBidi"/>
          <w:color w:val="auto"/>
          <w:sz w:val="22"/>
          <w:szCs w:val="22"/>
        </w:rPr>
        <w:t xml:space="preserve">, </w:t>
      </w:r>
      <w:r w:rsidRPr="1EE1375A" w:rsidR="754C0413">
        <w:rPr>
          <w:rFonts w:asciiTheme="minorHAnsi" w:hAnsiTheme="minorHAnsi" w:cstheme="minorBidi"/>
          <w:color w:val="auto"/>
          <w:sz w:val="22"/>
          <w:szCs w:val="22"/>
        </w:rPr>
        <w:t xml:space="preserve">known as </w:t>
      </w:r>
      <w:hyperlink r:id="rId12">
        <w:r w:rsidRPr="1EE1375A" w:rsidR="4BC2DBE4">
          <w:rPr>
            <w:rStyle w:val="Hyperlink"/>
            <w:rFonts w:asciiTheme="minorHAnsi" w:hAnsiTheme="minorHAnsi" w:cstheme="minorBidi"/>
            <w:sz w:val="22"/>
            <w:szCs w:val="22"/>
          </w:rPr>
          <w:t>SPACECAT</w:t>
        </w:r>
        <w:r w:rsidRPr="1EE1375A" w:rsidR="06FAA4DC">
          <w:rPr>
            <w:rStyle w:val="Hyperlink"/>
            <w:rFonts w:asciiTheme="minorHAnsi" w:hAnsiTheme="minorHAnsi" w:cstheme="minorBidi"/>
            <w:sz w:val="22"/>
            <w:szCs w:val="22"/>
          </w:rPr>
          <w:t>.</w:t>
        </w:r>
      </w:hyperlink>
      <w:r w:rsidRPr="1EE1375A" w:rsidR="06FAA4DC">
        <w:rPr>
          <w:rFonts w:asciiTheme="minorHAnsi" w:hAnsiTheme="minorHAnsi" w:cstheme="minorBidi"/>
          <w:color w:val="auto"/>
          <w:sz w:val="22"/>
          <w:szCs w:val="22"/>
        </w:rPr>
        <w:t xml:space="preserve"> </w:t>
      </w:r>
      <w:r w:rsidRPr="1EE1375A" w:rsidR="0A695F50">
        <w:rPr>
          <w:rFonts w:asciiTheme="minorHAnsi" w:hAnsiTheme="minorHAnsi" w:cstheme="minorBidi"/>
          <w:color w:val="auto"/>
          <w:sz w:val="22"/>
          <w:szCs w:val="22"/>
        </w:rPr>
        <w:t>This tool was developed</w:t>
      </w:r>
      <w:r w:rsidRPr="1EE1375A" w:rsidR="432E4160">
        <w:rPr>
          <w:rFonts w:asciiTheme="minorHAnsi" w:hAnsiTheme="minorHAnsi" w:cstheme="minorBidi"/>
          <w:color w:val="auto"/>
          <w:sz w:val="22"/>
          <w:szCs w:val="22"/>
        </w:rPr>
        <w:t xml:space="preserve"> </w:t>
      </w:r>
      <w:r w:rsidRPr="1EE1375A" w:rsidR="754C0413">
        <w:rPr>
          <w:rFonts w:asciiTheme="minorHAnsi" w:hAnsiTheme="minorHAnsi" w:cstheme="minorBidi"/>
          <w:color w:val="auto"/>
          <w:sz w:val="22"/>
          <w:szCs w:val="22"/>
        </w:rPr>
        <w:t xml:space="preserve">to </w:t>
      </w:r>
      <w:r w:rsidRPr="1EE1375A" w:rsidR="09582E28">
        <w:rPr>
          <w:rFonts w:asciiTheme="minorHAnsi" w:hAnsiTheme="minorHAnsi" w:cstheme="minorBidi"/>
          <w:color w:val="auto"/>
          <w:sz w:val="22"/>
          <w:szCs w:val="22"/>
        </w:rPr>
        <w:t xml:space="preserve">help </w:t>
      </w:r>
      <w:r w:rsidRPr="1EE1375A" w:rsidR="754C0413">
        <w:rPr>
          <w:rFonts w:asciiTheme="minorHAnsi" w:hAnsiTheme="minorHAnsi" w:cstheme="minorBidi"/>
          <w:color w:val="auto"/>
          <w:sz w:val="22"/>
          <w:szCs w:val="22"/>
        </w:rPr>
        <w:t>local</w:t>
      </w:r>
      <w:r w:rsidRPr="1EE1375A" w:rsidR="26EEB506">
        <w:rPr>
          <w:rFonts w:asciiTheme="minorHAnsi" w:hAnsiTheme="minorHAnsi" w:cstheme="minorBidi"/>
          <w:color w:val="auto"/>
          <w:sz w:val="22"/>
          <w:szCs w:val="22"/>
        </w:rPr>
        <w:t xml:space="preserve">, state, and territorial </w:t>
      </w:r>
      <w:r w:rsidRPr="1EE1375A" w:rsidR="754C0413">
        <w:rPr>
          <w:rFonts w:asciiTheme="minorHAnsi" w:hAnsiTheme="minorHAnsi" w:cstheme="minorBidi"/>
          <w:color w:val="auto"/>
          <w:sz w:val="22"/>
          <w:szCs w:val="22"/>
        </w:rPr>
        <w:t xml:space="preserve">health </w:t>
      </w:r>
      <w:r w:rsidRPr="1EE1375A" w:rsidR="793F2F60">
        <w:rPr>
          <w:rFonts w:asciiTheme="minorHAnsi" w:hAnsiTheme="minorHAnsi" w:cstheme="minorBidi"/>
          <w:color w:val="auto"/>
          <w:sz w:val="22"/>
          <w:szCs w:val="22"/>
        </w:rPr>
        <w:t>agencies</w:t>
      </w:r>
      <w:r w:rsidRPr="1EE1375A" w:rsidR="754C0413">
        <w:rPr>
          <w:rFonts w:asciiTheme="minorHAnsi" w:hAnsiTheme="minorHAnsi" w:cstheme="minorBidi"/>
          <w:color w:val="auto"/>
          <w:sz w:val="22"/>
          <w:szCs w:val="22"/>
        </w:rPr>
        <w:t xml:space="preserve"> </w:t>
      </w:r>
      <w:r w:rsidRPr="1EE1375A" w:rsidR="09582E28">
        <w:rPr>
          <w:rFonts w:asciiTheme="minorHAnsi" w:hAnsiTheme="minorHAnsi" w:cstheme="minorBidi"/>
          <w:color w:val="auto"/>
          <w:sz w:val="22"/>
          <w:szCs w:val="22"/>
        </w:rPr>
        <w:t xml:space="preserve">assess their current capacity to address the intersection of </w:t>
      </w:r>
      <w:r w:rsidRPr="1EE1375A" w:rsidR="7E000AEC">
        <w:rPr>
          <w:rFonts w:asciiTheme="minorHAnsi" w:hAnsiTheme="minorHAnsi" w:cstheme="minorBidi"/>
          <w:color w:val="auto"/>
          <w:sz w:val="22"/>
          <w:szCs w:val="22"/>
        </w:rPr>
        <w:t>suicide, overdose, and ACEs.</w:t>
      </w:r>
      <w:r w:rsidRPr="1EE1375A" w:rsidR="09582E28">
        <w:rPr>
          <w:rFonts w:asciiTheme="minorHAnsi" w:hAnsiTheme="minorHAnsi" w:cstheme="minorBidi"/>
          <w:color w:val="auto"/>
          <w:sz w:val="22"/>
          <w:szCs w:val="22"/>
        </w:rPr>
        <w:t xml:space="preserve"> </w:t>
      </w:r>
    </w:p>
    <w:p w:rsidRPr="009E4C32" w:rsidR="000073D9" w:rsidP="00BD2EF1" w:rsidRDefault="000073D9" w14:paraId="162D8DD6" w14:textId="77777777">
      <w:pPr>
        <w:pStyle w:val="Default"/>
        <w:rPr>
          <w:rFonts w:asciiTheme="minorHAnsi" w:hAnsiTheme="minorHAnsi" w:cstheme="minorHAnsi"/>
          <w:iCs/>
          <w:color w:val="auto"/>
          <w:sz w:val="22"/>
          <w:szCs w:val="22"/>
        </w:rPr>
      </w:pPr>
    </w:p>
    <w:p w:rsidRPr="009E4C32" w:rsidR="00BD2EF1" w:rsidP="1EE1375A" w:rsidRDefault="2996B189" w14:paraId="5EED700A" w14:textId="3F298D60">
      <w:pPr>
        <w:pStyle w:val="Default"/>
        <w:rPr>
          <w:rFonts w:asciiTheme="minorHAnsi" w:hAnsiTheme="minorHAnsi" w:cstheme="minorBidi"/>
          <w:sz w:val="22"/>
          <w:szCs w:val="22"/>
        </w:rPr>
      </w:pPr>
      <w:r w:rsidRPr="1EE1375A">
        <w:rPr>
          <w:rFonts w:asciiTheme="minorHAnsi" w:hAnsiTheme="minorHAnsi" w:cstheme="minorBidi"/>
          <w:sz w:val="22"/>
          <w:szCs w:val="22"/>
        </w:rPr>
        <w:t>In both the immediate and long-term, the COVID-19 pandemic is poised to increase rates of suicide, overdose, and ACEs</w:t>
      </w:r>
      <w:r w:rsidRPr="1EE1375A" w:rsidR="55C5E58A">
        <w:rPr>
          <w:rFonts w:asciiTheme="minorHAnsi" w:hAnsiTheme="minorHAnsi" w:cstheme="minorBidi"/>
          <w:sz w:val="22"/>
          <w:szCs w:val="22"/>
        </w:rPr>
        <w:t xml:space="preserve">, </w:t>
      </w:r>
      <w:r w:rsidRPr="1EE1375A">
        <w:rPr>
          <w:rFonts w:asciiTheme="minorHAnsi" w:hAnsiTheme="minorHAnsi" w:cstheme="minorBidi"/>
          <w:sz w:val="22"/>
          <w:szCs w:val="22"/>
        </w:rPr>
        <w:t xml:space="preserve">with low-income, already marginalized groups, and individuals with pre-existing behavioral health conditions </w:t>
      </w:r>
      <w:r w:rsidRPr="1EE1375A" w:rsidR="6E1DFAFC">
        <w:rPr>
          <w:rFonts w:asciiTheme="minorHAnsi" w:hAnsiTheme="minorHAnsi" w:cstheme="minorBidi"/>
          <w:sz w:val="22"/>
          <w:szCs w:val="22"/>
        </w:rPr>
        <w:t>facing an</w:t>
      </w:r>
      <w:r w:rsidRPr="1EE1375A" w:rsidR="619A6AA0">
        <w:rPr>
          <w:rFonts w:asciiTheme="minorHAnsi" w:hAnsiTheme="minorHAnsi" w:cstheme="minorBidi"/>
          <w:sz w:val="22"/>
          <w:szCs w:val="22"/>
        </w:rPr>
        <w:t xml:space="preserve"> </w:t>
      </w:r>
      <w:r w:rsidRPr="1EE1375A" w:rsidR="6E1DFAFC">
        <w:rPr>
          <w:rFonts w:asciiTheme="minorHAnsi" w:hAnsiTheme="minorHAnsi" w:cstheme="minorBidi"/>
          <w:sz w:val="22"/>
          <w:szCs w:val="22"/>
        </w:rPr>
        <w:t xml:space="preserve">increased </w:t>
      </w:r>
      <w:r w:rsidRPr="1EE1375A">
        <w:rPr>
          <w:rFonts w:asciiTheme="minorHAnsi" w:hAnsiTheme="minorHAnsi" w:cstheme="minorBidi"/>
          <w:sz w:val="22"/>
          <w:szCs w:val="22"/>
        </w:rPr>
        <w:t>ri</w:t>
      </w:r>
      <w:r w:rsidRPr="1EE1375A" w:rsidR="391DA09F">
        <w:rPr>
          <w:rFonts w:asciiTheme="minorHAnsi" w:hAnsiTheme="minorHAnsi" w:cstheme="minorBidi"/>
          <w:sz w:val="22"/>
          <w:szCs w:val="22"/>
        </w:rPr>
        <w:t>sk. SPACECAT assess</w:t>
      </w:r>
      <w:r w:rsidR="007E205A">
        <w:rPr>
          <w:rFonts w:asciiTheme="minorHAnsi" w:hAnsiTheme="minorHAnsi" w:cstheme="minorBidi"/>
          <w:sz w:val="22"/>
          <w:szCs w:val="22"/>
        </w:rPr>
        <w:t>es</w:t>
      </w:r>
      <w:r w:rsidRPr="1EE1375A" w:rsidR="391DA09F">
        <w:rPr>
          <w:rFonts w:asciiTheme="minorHAnsi" w:hAnsiTheme="minorHAnsi" w:cstheme="minorBidi"/>
          <w:sz w:val="22"/>
          <w:szCs w:val="22"/>
        </w:rPr>
        <w:t xml:space="preserve"> </w:t>
      </w:r>
      <w:r w:rsidR="00614374">
        <w:rPr>
          <w:rFonts w:asciiTheme="minorHAnsi" w:hAnsiTheme="minorHAnsi" w:cstheme="minorBidi"/>
          <w:sz w:val="22"/>
          <w:szCs w:val="22"/>
        </w:rPr>
        <w:t xml:space="preserve">LHD </w:t>
      </w:r>
      <w:r w:rsidRPr="1EE1375A" w:rsidR="391DA09F">
        <w:rPr>
          <w:rFonts w:asciiTheme="minorHAnsi" w:hAnsiTheme="minorHAnsi" w:cstheme="minorBidi"/>
          <w:sz w:val="22"/>
          <w:szCs w:val="22"/>
        </w:rPr>
        <w:t>capacity across these domains</w:t>
      </w:r>
      <w:r w:rsidRPr="1EE1375A" w:rsidR="316F27BA">
        <w:rPr>
          <w:rFonts w:asciiTheme="minorHAnsi" w:hAnsiTheme="minorHAnsi" w:cstheme="minorBidi"/>
          <w:sz w:val="22"/>
          <w:szCs w:val="22"/>
        </w:rPr>
        <w:t xml:space="preserve"> via a single tool</w:t>
      </w:r>
      <w:r w:rsidRPr="1EE1375A">
        <w:rPr>
          <w:rFonts w:asciiTheme="minorHAnsi" w:hAnsiTheme="minorHAnsi" w:cstheme="minorBidi"/>
          <w:sz w:val="22"/>
          <w:szCs w:val="22"/>
        </w:rPr>
        <w:t>.</w:t>
      </w:r>
      <w:r w:rsidRPr="1EE1375A" w:rsidR="362BB023">
        <w:rPr>
          <w:rFonts w:asciiTheme="minorHAnsi" w:hAnsiTheme="minorHAnsi" w:cstheme="minorBidi"/>
          <w:sz w:val="22"/>
          <w:szCs w:val="22"/>
        </w:rPr>
        <w:t xml:space="preserve"> Furthermore,</w:t>
      </w:r>
      <w:r w:rsidRPr="1EE1375A">
        <w:rPr>
          <w:rFonts w:asciiTheme="minorHAnsi" w:hAnsiTheme="minorHAnsi" w:cstheme="minorBidi"/>
          <w:sz w:val="22"/>
          <w:szCs w:val="22"/>
        </w:rPr>
        <w:t xml:space="preserve"> </w:t>
      </w:r>
      <w:r w:rsidRPr="1EE1375A" w:rsidR="362BB023">
        <w:rPr>
          <w:rFonts w:asciiTheme="minorHAnsi" w:hAnsiTheme="minorHAnsi" w:cstheme="minorBidi"/>
          <w:sz w:val="22"/>
          <w:szCs w:val="22"/>
        </w:rPr>
        <w:t>t</w:t>
      </w:r>
      <w:r w:rsidRPr="1EE1375A">
        <w:rPr>
          <w:rFonts w:asciiTheme="minorHAnsi" w:hAnsiTheme="minorHAnsi" w:cstheme="minorBidi"/>
          <w:sz w:val="22"/>
          <w:szCs w:val="22"/>
        </w:rPr>
        <w:t>his tool may help local, state, and territorial health agencies better understand the impact of COVID-19 on their capacity to address shared risk and protective factors for s</w:t>
      </w:r>
      <w:r w:rsidRPr="1EE1375A" w:rsidR="64FF967D">
        <w:rPr>
          <w:rFonts w:asciiTheme="minorHAnsi" w:hAnsiTheme="minorHAnsi" w:cstheme="minorBidi"/>
          <w:sz w:val="22"/>
          <w:szCs w:val="22"/>
        </w:rPr>
        <w:t>uicide, overdose, and ACEs.</w:t>
      </w:r>
      <w:r w:rsidR="00D63ECB">
        <w:rPr>
          <w:rFonts w:asciiTheme="minorHAnsi" w:hAnsiTheme="minorHAnsi" w:cstheme="minorBidi"/>
          <w:sz w:val="22"/>
          <w:szCs w:val="22"/>
        </w:rPr>
        <w:t xml:space="preserve"> In the fall of 2021, NACCHO fielded this tool to a nationally representative sample of approximately 700 local health departments. Analysis of the data collected is currently under way.</w:t>
      </w:r>
    </w:p>
    <w:p w:rsidRPr="009E4C32" w:rsidR="00BD2EF1" w:rsidP="00057287" w:rsidRDefault="00BD2EF1" w14:paraId="69D20643" w14:textId="77777777">
      <w:pPr>
        <w:pStyle w:val="Default"/>
        <w:rPr>
          <w:rFonts w:asciiTheme="minorHAnsi" w:hAnsiTheme="minorHAnsi" w:cstheme="minorHAnsi"/>
          <w:iCs/>
          <w:color w:val="auto"/>
          <w:sz w:val="22"/>
          <w:szCs w:val="22"/>
        </w:rPr>
      </w:pPr>
    </w:p>
    <w:p w:rsidR="00192D84" w:rsidP="1EE1375A" w:rsidRDefault="3AFF9AEF" w14:paraId="167D4065" w14:textId="181FE806">
      <w:pPr>
        <w:pStyle w:val="Default"/>
        <w:rPr>
          <w:rFonts w:asciiTheme="minorHAnsi" w:hAnsiTheme="minorHAnsi" w:cstheme="minorBidi"/>
          <w:color w:val="auto"/>
          <w:sz w:val="22"/>
          <w:szCs w:val="22"/>
        </w:rPr>
      </w:pPr>
      <w:r w:rsidRPr="1EE1375A">
        <w:rPr>
          <w:rFonts w:asciiTheme="minorHAnsi" w:hAnsiTheme="minorHAnsi" w:cstheme="minorBidi"/>
          <w:color w:val="auto"/>
          <w:sz w:val="22"/>
          <w:szCs w:val="22"/>
        </w:rPr>
        <w:t>The purpose of this funding opportunity is to provide one-on-one technical assistance</w:t>
      </w:r>
      <w:r w:rsidRPr="1EE1375A" w:rsidR="0BF926E3">
        <w:rPr>
          <w:rFonts w:asciiTheme="minorHAnsi" w:hAnsiTheme="minorHAnsi" w:cstheme="minorBidi"/>
          <w:color w:val="auto"/>
          <w:sz w:val="22"/>
          <w:szCs w:val="22"/>
        </w:rPr>
        <w:t xml:space="preserve"> (</w:t>
      </w:r>
      <w:r w:rsidRPr="1EE1375A" w:rsidR="0BC833B0">
        <w:rPr>
          <w:rFonts w:asciiTheme="minorHAnsi" w:hAnsiTheme="minorHAnsi" w:cstheme="minorBidi"/>
          <w:color w:val="auto"/>
          <w:sz w:val="22"/>
          <w:szCs w:val="22"/>
        </w:rPr>
        <w:t>TA)</w:t>
      </w:r>
      <w:r w:rsidRPr="1EE1375A" w:rsidR="3E7BC80F">
        <w:rPr>
          <w:rFonts w:asciiTheme="minorHAnsi" w:hAnsiTheme="minorHAnsi" w:cstheme="minorBidi"/>
          <w:color w:val="auto"/>
          <w:sz w:val="22"/>
          <w:szCs w:val="22"/>
        </w:rPr>
        <w:t xml:space="preserve"> to</w:t>
      </w:r>
      <w:r w:rsidRPr="1EE1375A" w:rsidR="67964BEB">
        <w:rPr>
          <w:rFonts w:asciiTheme="minorHAnsi" w:hAnsiTheme="minorHAnsi" w:cstheme="minorBidi"/>
          <w:color w:val="auto"/>
          <w:sz w:val="22"/>
          <w:szCs w:val="22"/>
        </w:rPr>
        <w:t xml:space="preserve"> help</w:t>
      </w:r>
      <w:r w:rsidRPr="1EE1375A" w:rsidR="3E7BC80F">
        <w:rPr>
          <w:rFonts w:asciiTheme="minorHAnsi" w:hAnsiTheme="minorHAnsi" w:cstheme="minorBidi"/>
          <w:color w:val="auto"/>
          <w:sz w:val="22"/>
          <w:szCs w:val="22"/>
        </w:rPr>
        <w:t xml:space="preserve"> LHDs</w:t>
      </w:r>
      <w:r w:rsidRPr="1EE1375A" w:rsidR="233B2198">
        <w:rPr>
          <w:rFonts w:asciiTheme="minorHAnsi" w:hAnsiTheme="minorHAnsi" w:cstheme="minorBidi"/>
          <w:color w:val="auto"/>
          <w:sz w:val="22"/>
          <w:szCs w:val="22"/>
        </w:rPr>
        <w:t xml:space="preserve"> </w:t>
      </w:r>
      <w:r w:rsidRPr="1EE1375A" w:rsidR="60B2F438">
        <w:rPr>
          <w:rFonts w:asciiTheme="minorHAnsi" w:hAnsiTheme="minorHAnsi" w:cstheme="minorBidi"/>
          <w:color w:val="auto"/>
          <w:sz w:val="22"/>
          <w:szCs w:val="22"/>
        </w:rPr>
        <w:t>translate their S</w:t>
      </w:r>
      <w:r w:rsidRPr="1EE1375A" w:rsidR="4077E4D4">
        <w:rPr>
          <w:rFonts w:asciiTheme="minorHAnsi" w:hAnsiTheme="minorHAnsi" w:cstheme="minorBidi"/>
          <w:color w:val="auto"/>
          <w:sz w:val="22"/>
          <w:szCs w:val="22"/>
        </w:rPr>
        <w:t>PACECAT results into action</w:t>
      </w:r>
      <w:r w:rsidRPr="1EE1375A" w:rsidR="4BD0319F">
        <w:rPr>
          <w:rFonts w:asciiTheme="minorHAnsi" w:hAnsiTheme="minorHAnsi" w:cstheme="minorBidi"/>
          <w:color w:val="auto"/>
          <w:sz w:val="22"/>
          <w:szCs w:val="22"/>
        </w:rPr>
        <w:t>able guidance</w:t>
      </w:r>
      <w:r w:rsidRPr="1EE1375A" w:rsidR="540058E5">
        <w:rPr>
          <w:rFonts w:asciiTheme="minorHAnsi" w:hAnsiTheme="minorHAnsi" w:cstheme="minorBidi"/>
          <w:color w:val="auto"/>
          <w:sz w:val="22"/>
          <w:szCs w:val="22"/>
        </w:rPr>
        <w:t xml:space="preserve"> to begin improving </w:t>
      </w:r>
      <w:r w:rsidR="00524FF2">
        <w:rPr>
          <w:rFonts w:asciiTheme="minorHAnsi" w:hAnsiTheme="minorHAnsi" w:cstheme="minorBidi"/>
          <w:color w:val="auto"/>
          <w:sz w:val="22"/>
          <w:szCs w:val="22"/>
        </w:rPr>
        <w:t xml:space="preserve">internal </w:t>
      </w:r>
      <w:r w:rsidRPr="1EE1375A" w:rsidR="540058E5">
        <w:rPr>
          <w:rFonts w:asciiTheme="minorHAnsi" w:hAnsiTheme="minorHAnsi" w:cstheme="minorBidi"/>
          <w:color w:val="auto"/>
          <w:sz w:val="22"/>
          <w:szCs w:val="22"/>
        </w:rPr>
        <w:t xml:space="preserve">capacity to address </w:t>
      </w:r>
      <w:r w:rsidR="0010118D">
        <w:rPr>
          <w:rFonts w:asciiTheme="minorHAnsi" w:hAnsiTheme="minorHAnsi" w:cstheme="minorBidi"/>
          <w:color w:val="auto"/>
          <w:sz w:val="22"/>
          <w:szCs w:val="22"/>
        </w:rPr>
        <w:t xml:space="preserve">the intersection of </w:t>
      </w:r>
      <w:r w:rsidRPr="1EE1375A" w:rsidR="540058E5">
        <w:rPr>
          <w:rFonts w:asciiTheme="minorHAnsi" w:hAnsiTheme="minorHAnsi" w:cstheme="minorBidi"/>
          <w:color w:val="auto"/>
          <w:sz w:val="22"/>
          <w:szCs w:val="22"/>
        </w:rPr>
        <w:t xml:space="preserve">suicide, overdose, and ACEs. </w:t>
      </w:r>
    </w:p>
    <w:p w:rsidR="00192D84" w:rsidP="1EE1375A" w:rsidRDefault="00192D84" w14:paraId="7A5F7531" w14:textId="77777777">
      <w:pPr>
        <w:pStyle w:val="Default"/>
        <w:rPr>
          <w:rFonts w:asciiTheme="minorHAnsi" w:hAnsiTheme="minorHAnsi" w:cstheme="minorBidi"/>
          <w:color w:val="auto"/>
          <w:sz w:val="22"/>
          <w:szCs w:val="22"/>
        </w:rPr>
      </w:pPr>
    </w:p>
    <w:p w:rsidRPr="009E4C32" w:rsidR="00315B9E" w:rsidP="1EE1375A" w:rsidRDefault="74B58F49" w14:paraId="7B56975F" w14:textId="0DCAFD0E">
      <w:pPr>
        <w:pStyle w:val="Default"/>
        <w:rPr>
          <w:rFonts w:asciiTheme="minorHAnsi" w:hAnsiTheme="minorHAnsi" w:cstheme="minorBidi"/>
          <w:color w:val="auto"/>
          <w:sz w:val="22"/>
          <w:szCs w:val="22"/>
        </w:rPr>
      </w:pPr>
      <w:r w:rsidRPr="1EE1375A">
        <w:rPr>
          <w:rFonts w:asciiTheme="minorHAnsi" w:hAnsiTheme="minorHAnsi" w:cstheme="minorBidi"/>
          <w:color w:val="auto"/>
          <w:sz w:val="22"/>
          <w:szCs w:val="22"/>
        </w:rPr>
        <w:t xml:space="preserve">Objectives </w:t>
      </w:r>
      <w:r w:rsidRPr="1EE1375A" w:rsidR="07E68AA0">
        <w:rPr>
          <w:rFonts w:asciiTheme="minorHAnsi" w:hAnsiTheme="minorHAnsi" w:cstheme="minorBidi"/>
          <w:color w:val="auto"/>
          <w:sz w:val="22"/>
          <w:szCs w:val="22"/>
        </w:rPr>
        <w:t>for</w:t>
      </w:r>
      <w:r w:rsidRPr="1EE1375A">
        <w:rPr>
          <w:rFonts w:asciiTheme="minorHAnsi" w:hAnsiTheme="minorHAnsi" w:cstheme="minorBidi"/>
          <w:color w:val="auto"/>
          <w:sz w:val="22"/>
          <w:szCs w:val="22"/>
        </w:rPr>
        <w:t xml:space="preserve"> </w:t>
      </w:r>
      <w:r w:rsidRPr="1EE1375A" w:rsidR="0BF926E3">
        <w:rPr>
          <w:rFonts w:asciiTheme="minorHAnsi" w:hAnsiTheme="minorHAnsi" w:cstheme="minorBidi"/>
          <w:color w:val="auto"/>
          <w:sz w:val="22"/>
          <w:szCs w:val="22"/>
        </w:rPr>
        <w:t>this TA include</w:t>
      </w:r>
      <w:r w:rsidR="005126E0">
        <w:rPr>
          <w:rFonts w:asciiTheme="minorHAnsi" w:hAnsiTheme="minorHAnsi" w:cstheme="minorBidi"/>
          <w:color w:val="auto"/>
          <w:sz w:val="22"/>
          <w:szCs w:val="22"/>
        </w:rPr>
        <w:t>:</w:t>
      </w:r>
      <w:r w:rsidRPr="1EE1375A" w:rsidR="005126E0">
        <w:rPr>
          <w:rFonts w:asciiTheme="minorHAnsi" w:hAnsiTheme="minorHAnsi" w:cstheme="minorBidi"/>
          <w:color w:val="auto"/>
          <w:sz w:val="22"/>
          <w:szCs w:val="22"/>
        </w:rPr>
        <w:t xml:space="preserve"> </w:t>
      </w:r>
    </w:p>
    <w:p w:rsidRPr="009E4C32" w:rsidR="008D78BA" w:rsidP="00CC433A" w:rsidRDefault="00E22F89" w14:paraId="252F7C80" w14:textId="12586DF8">
      <w:pPr>
        <w:pStyle w:val="Default"/>
        <w:numPr>
          <w:ilvl w:val="0"/>
          <w:numId w:val="27"/>
        </w:numPr>
        <w:ind w:left="720"/>
        <w:rPr>
          <w:rFonts w:asciiTheme="minorHAnsi" w:hAnsiTheme="minorHAnsi" w:cstheme="minorHAnsi"/>
          <w:iCs/>
          <w:color w:val="auto"/>
          <w:sz w:val="22"/>
          <w:szCs w:val="22"/>
        </w:rPr>
      </w:pPr>
      <w:r w:rsidRPr="009E4C32">
        <w:rPr>
          <w:rFonts w:asciiTheme="minorHAnsi" w:hAnsiTheme="minorHAnsi" w:cstheme="minorHAnsi"/>
          <w:iCs/>
          <w:color w:val="auto"/>
          <w:sz w:val="22"/>
          <w:szCs w:val="22"/>
        </w:rPr>
        <w:t xml:space="preserve">Demonstrating how SPACECAT results can be used to identify strengths and opportunities for improvement. </w:t>
      </w:r>
    </w:p>
    <w:p w:rsidRPr="009E4C32" w:rsidR="00E22F89" w:rsidP="00C93E0E" w:rsidRDefault="00E22F89" w14:paraId="657F7093" w14:textId="3C73081E">
      <w:pPr>
        <w:pStyle w:val="Default"/>
        <w:numPr>
          <w:ilvl w:val="0"/>
          <w:numId w:val="27"/>
        </w:numPr>
        <w:ind w:left="720"/>
        <w:rPr>
          <w:rFonts w:asciiTheme="minorHAnsi" w:hAnsiTheme="minorHAnsi" w:cstheme="minorHAnsi"/>
          <w:iCs/>
          <w:color w:val="auto"/>
          <w:sz w:val="22"/>
          <w:szCs w:val="22"/>
        </w:rPr>
      </w:pPr>
      <w:r w:rsidRPr="009E4C32">
        <w:rPr>
          <w:rFonts w:asciiTheme="minorHAnsi" w:hAnsiTheme="minorHAnsi" w:cstheme="minorHAnsi"/>
          <w:iCs/>
          <w:color w:val="auto"/>
          <w:sz w:val="22"/>
          <w:szCs w:val="22"/>
        </w:rPr>
        <w:t>I</w:t>
      </w:r>
      <w:r w:rsidRPr="009E4C32" w:rsidR="00BC4C5B">
        <w:rPr>
          <w:rFonts w:asciiTheme="minorHAnsi" w:hAnsiTheme="minorHAnsi" w:cstheme="minorHAnsi"/>
          <w:iCs/>
          <w:color w:val="auto"/>
          <w:sz w:val="22"/>
          <w:szCs w:val="22"/>
        </w:rPr>
        <w:t xml:space="preserve">dentifying priority areas and developing action plans to strengthen capacity in suicide, overdose, and ACEs prevention. </w:t>
      </w:r>
    </w:p>
    <w:p w:rsidRPr="009E4C32" w:rsidR="00BC4C5B" w:rsidP="00B00150" w:rsidRDefault="00BC4C5B" w14:paraId="240B4071" w14:textId="77777777">
      <w:pPr>
        <w:pStyle w:val="Default"/>
        <w:ind w:left="1440"/>
        <w:rPr>
          <w:rFonts w:asciiTheme="minorHAnsi" w:hAnsiTheme="minorHAnsi" w:cstheme="minorHAnsi"/>
          <w:i/>
          <w:color w:val="auto"/>
          <w:sz w:val="22"/>
          <w:szCs w:val="22"/>
        </w:rPr>
      </w:pPr>
    </w:p>
    <w:p w:rsidRPr="009E4C32" w:rsidR="0041112A" w:rsidP="1EE1375A" w:rsidRDefault="6772A6E2" w14:paraId="1298B49F" w14:textId="32008F01">
      <w:pPr>
        <w:pStyle w:val="Default"/>
        <w:rPr>
          <w:rFonts w:asciiTheme="minorHAnsi" w:hAnsiTheme="minorHAnsi" w:cstheme="minorBidi"/>
          <w:color w:val="auto"/>
          <w:sz w:val="22"/>
          <w:szCs w:val="22"/>
        </w:rPr>
      </w:pPr>
      <w:r w:rsidRPr="1EE1375A">
        <w:rPr>
          <w:rFonts w:asciiTheme="minorHAnsi" w:hAnsiTheme="minorHAnsi" w:cstheme="minorBidi"/>
          <w:color w:val="auto"/>
          <w:sz w:val="22"/>
          <w:szCs w:val="22"/>
        </w:rPr>
        <w:t xml:space="preserve">All interested applicants must </w:t>
      </w:r>
      <w:r w:rsidR="00CC433A">
        <w:rPr>
          <w:rFonts w:asciiTheme="minorHAnsi" w:hAnsiTheme="minorHAnsi" w:cstheme="minorBidi"/>
          <w:color w:val="auto"/>
          <w:sz w:val="22"/>
          <w:szCs w:val="22"/>
        </w:rPr>
        <w:t xml:space="preserve">have </w:t>
      </w:r>
      <w:r w:rsidRPr="1EE1375A">
        <w:rPr>
          <w:rFonts w:asciiTheme="minorHAnsi" w:hAnsiTheme="minorHAnsi" w:cstheme="minorBidi"/>
          <w:color w:val="auto"/>
          <w:sz w:val="22"/>
          <w:szCs w:val="22"/>
        </w:rPr>
        <w:t>complete</w:t>
      </w:r>
      <w:r w:rsidR="000B1B64">
        <w:rPr>
          <w:rFonts w:asciiTheme="minorHAnsi" w:hAnsiTheme="minorHAnsi" w:cstheme="minorBidi"/>
          <w:color w:val="auto"/>
          <w:sz w:val="22"/>
          <w:szCs w:val="22"/>
        </w:rPr>
        <w:t>d</w:t>
      </w:r>
      <w:r w:rsidRPr="1EE1375A">
        <w:rPr>
          <w:rFonts w:asciiTheme="minorHAnsi" w:hAnsiTheme="minorHAnsi" w:cstheme="minorBidi"/>
          <w:color w:val="auto"/>
          <w:sz w:val="22"/>
          <w:szCs w:val="22"/>
        </w:rPr>
        <w:t xml:space="preserve"> the SPACECAT and </w:t>
      </w:r>
      <w:r w:rsidRPr="1EE1375A" w:rsidR="3488AE76">
        <w:rPr>
          <w:rFonts w:asciiTheme="minorHAnsi" w:hAnsiTheme="minorHAnsi" w:cstheme="minorBidi"/>
          <w:color w:val="auto"/>
          <w:sz w:val="22"/>
          <w:szCs w:val="22"/>
        </w:rPr>
        <w:t>include</w:t>
      </w:r>
      <w:r w:rsidRPr="1EE1375A" w:rsidR="56CC0078">
        <w:rPr>
          <w:rFonts w:asciiTheme="minorHAnsi" w:hAnsiTheme="minorHAnsi" w:cstheme="minorBidi"/>
          <w:color w:val="auto"/>
          <w:sz w:val="22"/>
          <w:szCs w:val="22"/>
        </w:rPr>
        <w:t xml:space="preserve"> the</w:t>
      </w:r>
      <w:r w:rsidRPr="1EE1375A" w:rsidR="1D796359">
        <w:rPr>
          <w:rFonts w:asciiTheme="minorHAnsi" w:hAnsiTheme="minorHAnsi" w:cstheme="minorBidi"/>
          <w:color w:val="auto"/>
          <w:sz w:val="22"/>
          <w:szCs w:val="22"/>
        </w:rPr>
        <w:t>ir</w:t>
      </w:r>
      <w:r w:rsidRPr="1EE1375A" w:rsidR="3488AE76">
        <w:rPr>
          <w:rFonts w:asciiTheme="minorHAnsi" w:hAnsiTheme="minorHAnsi" w:cstheme="minorBidi"/>
          <w:color w:val="auto"/>
          <w:sz w:val="22"/>
          <w:szCs w:val="22"/>
        </w:rPr>
        <w:t xml:space="preserve"> </w:t>
      </w:r>
      <w:r w:rsidRPr="1EE1375A" w:rsidR="56CC0078">
        <w:rPr>
          <w:rFonts w:asciiTheme="minorHAnsi" w:hAnsiTheme="minorHAnsi" w:cstheme="minorBidi"/>
          <w:color w:val="auto"/>
          <w:sz w:val="22"/>
          <w:szCs w:val="22"/>
        </w:rPr>
        <w:t xml:space="preserve">assessment results </w:t>
      </w:r>
      <w:r w:rsidRPr="1EE1375A" w:rsidR="19874988">
        <w:rPr>
          <w:rFonts w:asciiTheme="minorHAnsi" w:hAnsiTheme="minorHAnsi" w:cstheme="minorBidi"/>
          <w:color w:val="auto"/>
          <w:sz w:val="22"/>
          <w:szCs w:val="22"/>
        </w:rPr>
        <w:t xml:space="preserve">as part of the </w:t>
      </w:r>
      <w:r w:rsidRPr="1EE1375A" w:rsidR="23A188DA">
        <w:rPr>
          <w:rFonts w:asciiTheme="minorHAnsi" w:hAnsiTheme="minorHAnsi" w:cstheme="minorBidi"/>
          <w:color w:val="auto"/>
          <w:sz w:val="22"/>
          <w:szCs w:val="22"/>
        </w:rPr>
        <w:t>application</w:t>
      </w:r>
      <w:r w:rsidRPr="1EE1375A" w:rsidR="1D796359">
        <w:rPr>
          <w:rFonts w:asciiTheme="minorHAnsi" w:hAnsiTheme="minorHAnsi" w:cstheme="minorBidi"/>
          <w:color w:val="auto"/>
          <w:sz w:val="22"/>
          <w:szCs w:val="22"/>
        </w:rPr>
        <w:t xml:space="preserve"> package</w:t>
      </w:r>
      <w:r w:rsidRPr="1EE1375A" w:rsidR="23A188DA">
        <w:rPr>
          <w:rFonts w:asciiTheme="minorHAnsi" w:hAnsiTheme="minorHAnsi" w:cstheme="minorBidi"/>
          <w:color w:val="auto"/>
          <w:sz w:val="22"/>
          <w:szCs w:val="22"/>
        </w:rPr>
        <w:t>.</w:t>
      </w:r>
      <w:r w:rsidRPr="1EE1375A" w:rsidR="1D796359">
        <w:rPr>
          <w:rFonts w:asciiTheme="minorHAnsi" w:hAnsiTheme="minorHAnsi" w:cstheme="minorBidi"/>
          <w:color w:val="auto"/>
          <w:sz w:val="22"/>
          <w:szCs w:val="22"/>
        </w:rPr>
        <w:t xml:space="preserve"> </w:t>
      </w:r>
      <w:r w:rsidR="00B96E33">
        <w:rPr>
          <w:rFonts w:asciiTheme="minorHAnsi" w:hAnsiTheme="minorHAnsi" w:cstheme="minorBidi"/>
          <w:color w:val="auto"/>
          <w:sz w:val="22"/>
          <w:szCs w:val="22"/>
        </w:rPr>
        <w:t>A</w:t>
      </w:r>
      <w:r w:rsidRPr="1EE1375A" w:rsidR="4AC3AFD7">
        <w:rPr>
          <w:rFonts w:asciiTheme="minorHAnsi" w:hAnsiTheme="minorHAnsi" w:cstheme="minorBidi"/>
          <w:color w:val="auto"/>
          <w:sz w:val="22"/>
          <w:szCs w:val="22"/>
        </w:rPr>
        <w:t xml:space="preserve">pplicants that </w:t>
      </w:r>
      <w:r w:rsidRPr="1EE1375A" w:rsidR="1D796359">
        <w:rPr>
          <w:rFonts w:asciiTheme="minorHAnsi" w:hAnsiTheme="minorHAnsi" w:cstheme="minorBidi"/>
          <w:color w:val="auto"/>
          <w:sz w:val="22"/>
          <w:szCs w:val="22"/>
        </w:rPr>
        <w:t xml:space="preserve">have not completed the SPACECAT will not be considered </w:t>
      </w:r>
      <w:r w:rsidRPr="1EE1375A" w:rsidR="2C1777E0">
        <w:rPr>
          <w:rFonts w:asciiTheme="minorHAnsi" w:hAnsiTheme="minorHAnsi" w:cstheme="minorBidi"/>
          <w:color w:val="auto"/>
          <w:sz w:val="22"/>
          <w:szCs w:val="22"/>
        </w:rPr>
        <w:t>eligible</w:t>
      </w:r>
      <w:r w:rsidR="00B2765D">
        <w:rPr>
          <w:rFonts w:asciiTheme="minorHAnsi" w:hAnsiTheme="minorHAnsi" w:cstheme="minorBidi"/>
          <w:color w:val="auto"/>
          <w:sz w:val="22"/>
          <w:szCs w:val="22"/>
        </w:rPr>
        <w:t xml:space="preserve"> for this funding opportunity</w:t>
      </w:r>
      <w:r w:rsidRPr="1EE1375A" w:rsidR="2C1777E0">
        <w:rPr>
          <w:rFonts w:asciiTheme="minorHAnsi" w:hAnsiTheme="minorHAnsi" w:cstheme="minorBidi"/>
          <w:color w:val="auto"/>
          <w:sz w:val="22"/>
          <w:szCs w:val="22"/>
        </w:rPr>
        <w:t>.</w:t>
      </w:r>
      <w:r w:rsidR="000B1B64">
        <w:rPr>
          <w:rFonts w:asciiTheme="minorHAnsi" w:hAnsiTheme="minorHAnsi" w:cstheme="minorBidi"/>
          <w:color w:val="auto"/>
          <w:sz w:val="22"/>
          <w:szCs w:val="22"/>
        </w:rPr>
        <w:t xml:space="preserve"> If yo</w:t>
      </w:r>
      <w:r w:rsidR="004C0D75">
        <w:rPr>
          <w:rFonts w:asciiTheme="minorHAnsi" w:hAnsiTheme="minorHAnsi" w:cstheme="minorBidi"/>
          <w:color w:val="auto"/>
          <w:sz w:val="22"/>
          <w:szCs w:val="22"/>
        </w:rPr>
        <w:t xml:space="preserve">ur local health department did not already complete the </w:t>
      </w:r>
      <w:hyperlink w:history="1" r:id="rId13">
        <w:r w:rsidRPr="00D12C50" w:rsidR="004C0D75">
          <w:rPr>
            <w:rStyle w:val="Hyperlink"/>
            <w:rFonts w:asciiTheme="minorHAnsi" w:hAnsiTheme="minorHAnsi" w:cstheme="minorBidi"/>
            <w:sz w:val="22"/>
            <w:szCs w:val="22"/>
          </w:rPr>
          <w:t>SPACECAT</w:t>
        </w:r>
      </w:hyperlink>
      <w:r w:rsidR="004C0D75">
        <w:rPr>
          <w:rFonts w:asciiTheme="minorHAnsi" w:hAnsiTheme="minorHAnsi" w:cstheme="minorBidi"/>
          <w:color w:val="auto"/>
          <w:sz w:val="22"/>
          <w:szCs w:val="22"/>
        </w:rPr>
        <w:t xml:space="preserve"> as part of the national fielding</w:t>
      </w:r>
      <w:r w:rsidR="008E3833">
        <w:rPr>
          <w:rFonts w:asciiTheme="minorHAnsi" w:hAnsiTheme="minorHAnsi" w:cstheme="minorBidi"/>
          <w:color w:val="auto"/>
          <w:sz w:val="22"/>
          <w:szCs w:val="22"/>
        </w:rPr>
        <w:t xml:space="preserve"> in the fall of 20</w:t>
      </w:r>
      <w:r w:rsidR="00793485">
        <w:rPr>
          <w:rFonts w:asciiTheme="minorHAnsi" w:hAnsiTheme="minorHAnsi" w:cstheme="minorBidi"/>
          <w:color w:val="auto"/>
          <w:sz w:val="22"/>
          <w:szCs w:val="22"/>
        </w:rPr>
        <w:t>21</w:t>
      </w:r>
      <w:r w:rsidR="004C0D75">
        <w:rPr>
          <w:rFonts w:asciiTheme="minorHAnsi" w:hAnsiTheme="minorHAnsi" w:cstheme="minorBidi"/>
          <w:color w:val="auto"/>
          <w:sz w:val="22"/>
          <w:szCs w:val="22"/>
        </w:rPr>
        <w:t xml:space="preserve">, </w:t>
      </w:r>
      <w:r w:rsidRPr="008A6BA1" w:rsidR="004C0D75">
        <w:rPr>
          <w:rFonts w:asciiTheme="minorHAnsi" w:hAnsiTheme="minorHAnsi" w:cstheme="minorBidi"/>
          <w:color w:val="auto"/>
          <w:sz w:val="22"/>
          <w:szCs w:val="22"/>
        </w:rPr>
        <w:t>p</w:t>
      </w:r>
      <w:r w:rsidRPr="008A6BA1" w:rsidR="23A188DA">
        <w:rPr>
          <w:rFonts w:asciiTheme="minorHAnsi" w:hAnsiTheme="minorHAnsi" w:cstheme="minorBidi"/>
          <w:color w:val="auto"/>
          <w:sz w:val="22"/>
          <w:szCs w:val="22"/>
        </w:rPr>
        <w:t xml:space="preserve">lease </w:t>
      </w:r>
      <w:r w:rsidRPr="008A6BA1" w:rsidR="00D12C50">
        <w:rPr>
          <w:rFonts w:asciiTheme="minorHAnsi" w:hAnsiTheme="minorHAnsi" w:cstheme="minorBidi"/>
          <w:color w:val="auto"/>
          <w:sz w:val="22"/>
          <w:szCs w:val="22"/>
        </w:rPr>
        <w:t xml:space="preserve">contact </w:t>
      </w:r>
      <w:r w:rsidRPr="008A6BA1" w:rsidR="00F122C3">
        <w:rPr>
          <w:rFonts w:asciiTheme="minorHAnsi" w:hAnsiTheme="minorHAnsi" w:cstheme="minorBidi"/>
          <w:color w:val="auto"/>
          <w:sz w:val="22"/>
          <w:szCs w:val="22"/>
        </w:rPr>
        <w:t xml:space="preserve">NACCHO’s Injury and Violence Prevention team at </w:t>
      </w:r>
      <w:hyperlink w:history="1" r:id="rId14">
        <w:r w:rsidRPr="008A6BA1" w:rsidR="00F122C3">
          <w:rPr>
            <w:rStyle w:val="Hyperlink"/>
            <w:rFonts w:asciiTheme="minorHAnsi" w:hAnsiTheme="minorHAnsi" w:cstheme="minorBidi"/>
            <w:sz w:val="22"/>
            <w:szCs w:val="22"/>
          </w:rPr>
          <w:t>IVP@naccho.org</w:t>
        </w:r>
      </w:hyperlink>
      <w:r w:rsidRPr="008A6BA1" w:rsidR="00F122C3">
        <w:rPr>
          <w:rFonts w:asciiTheme="minorHAnsi" w:hAnsiTheme="minorHAnsi" w:cstheme="minorBidi"/>
          <w:color w:val="auto"/>
          <w:sz w:val="22"/>
          <w:szCs w:val="22"/>
        </w:rPr>
        <w:t xml:space="preserve"> and our team will provide you with a unique hyperlink to complete </w:t>
      </w:r>
      <w:r w:rsidRPr="008A6BA1" w:rsidR="00E2425E">
        <w:rPr>
          <w:rFonts w:asciiTheme="minorHAnsi" w:hAnsiTheme="minorHAnsi" w:cstheme="minorBidi"/>
          <w:color w:val="auto"/>
          <w:sz w:val="22"/>
          <w:szCs w:val="22"/>
        </w:rPr>
        <w:t>the tool</w:t>
      </w:r>
      <w:r w:rsidRPr="008A6BA1" w:rsidR="23A188DA">
        <w:rPr>
          <w:rFonts w:asciiTheme="minorHAnsi" w:hAnsiTheme="minorHAnsi" w:cstheme="minorBidi"/>
          <w:color w:val="auto"/>
          <w:sz w:val="22"/>
          <w:szCs w:val="22"/>
        </w:rPr>
        <w:t xml:space="preserve">. </w:t>
      </w:r>
      <w:r w:rsidR="00A35C76">
        <w:rPr>
          <w:rFonts w:asciiTheme="minorHAnsi" w:hAnsiTheme="minorHAnsi" w:cstheme="minorBidi"/>
          <w:color w:val="auto"/>
          <w:sz w:val="22"/>
          <w:szCs w:val="22"/>
        </w:rPr>
        <w:t>If you have any questions about the tool or are experiencing any technical issues, please contact</w:t>
      </w:r>
      <w:r w:rsidR="00E2425E">
        <w:rPr>
          <w:rFonts w:asciiTheme="minorHAnsi" w:hAnsiTheme="minorHAnsi" w:cstheme="minorBidi"/>
          <w:color w:val="auto"/>
          <w:sz w:val="22"/>
          <w:szCs w:val="22"/>
        </w:rPr>
        <w:t xml:space="preserve"> our team for assistance</w:t>
      </w:r>
      <w:r w:rsidR="00A35C76">
        <w:rPr>
          <w:rFonts w:asciiTheme="minorHAnsi" w:hAnsiTheme="minorHAnsi" w:cstheme="minorBidi"/>
          <w:color w:val="auto"/>
          <w:sz w:val="22"/>
          <w:szCs w:val="22"/>
        </w:rPr>
        <w:t>.</w:t>
      </w:r>
    </w:p>
    <w:p w:rsidRPr="009E4C32" w:rsidR="0041112A" w:rsidP="00057287" w:rsidRDefault="0041112A" w14:paraId="6414578B" w14:textId="77777777">
      <w:pPr>
        <w:pStyle w:val="Default"/>
        <w:rPr>
          <w:iCs/>
          <w:color w:val="auto"/>
          <w:sz w:val="22"/>
          <w:szCs w:val="22"/>
        </w:rPr>
      </w:pPr>
    </w:p>
    <w:p w:rsidRPr="009E4C32" w:rsidR="008C5667" w:rsidP="008C5667" w:rsidRDefault="003F3652" w14:paraId="033146E3" w14:textId="265ADE58">
      <w:pPr>
        <w:pStyle w:val="Default"/>
        <w:rPr>
          <w:iCs/>
          <w:sz w:val="22"/>
          <w:szCs w:val="22"/>
        </w:rPr>
      </w:pPr>
      <w:r w:rsidRPr="009E4C32">
        <w:rPr>
          <w:iCs/>
          <w:sz w:val="22"/>
          <w:szCs w:val="22"/>
        </w:rPr>
        <w:t xml:space="preserve">Funding for this </w:t>
      </w:r>
      <w:r w:rsidR="00B2765D">
        <w:rPr>
          <w:iCs/>
          <w:sz w:val="22"/>
          <w:szCs w:val="22"/>
        </w:rPr>
        <w:t xml:space="preserve">RFA </w:t>
      </w:r>
      <w:r w:rsidRPr="009E4C32">
        <w:rPr>
          <w:iCs/>
          <w:sz w:val="22"/>
          <w:szCs w:val="22"/>
        </w:rPr>
        <w:t>is supported by the CDC cooperative agreement NU38OT000306-02-01 entitled Strengthening Public Health Systems and Services through National Partnerships to Improve and Protect the Nation’s Health.</w:t>
      </w:r>
    </w:p>
    <w:p w:rsidR="002340D2" w:rsidP="00057287" w:rsidRDefault="002340D2" w14:paraId="47159094" w14:textId="215861DF">
      <w:pPr>
        <w:pStyle w:val="Default"/>
        <w:rPr>
          <w:iCs/>
          <w:sz w:val="22"/>
          <w:szCs w:val="22"/>
        </w:rPr>
      </w:pPr>
    </w:p>
    <w:p w:rsidR="00A6704E" w:rsidP="00A6704E" w:rsidRDefault="00A6704E" w14:paraId="575F45DC" w14:textId="77777777">
      <w:pPr>
        <w:pStyle w:val="Default"/>
        <w:rPr>
          <w:color w:val="244061" w:themeColor="accent1" w:themeShade="80"/>
          <w:sz w:val="20"/>
          <w:szCs w:val="20"/>
        </w:rPr>
      </w:pPr>
      <w:r w:rsidRPr="70B27C9D">
        <w:rPr>
          <w:b/>
          <w:bCs/>
          <w:smallCaps/>
          <w:color w:val="244061" w:themeColor="accent1" w:themeShade="80"/>
          <w:sz w:val="28"/>
          <w:szCs w:val="28"/>
          <w:u w:val="single"/>
        </w:rPr>
        <w:t>Eligibility and Contract Terms</w:t>
      </w:r>
    </w:p>
    <w:p w:rsidR="00A6704E" w:rsidP="00C80450" w:rsidRDefault="00A6704E" w14:paraId="34F48918" w14:textId="486DC416">
      <w:pPr>
        <w:pStyle w:val="Default"/>
        <w:tabs>
          <w:tab w:val="left" w:pos="1185"/>
        </w:tabs>
        <w:rPr>
          <w:i/>
          <w:color w:val="FF0000"/>
          <w:sz w:val="20"/>
          <w:szCs w:val="20"/>
        </w:rPr>
      </w:pPr>
      <w:r w:rsidRPr="00D04DA4">
        <w:rPr>
          <w:sz w:val="22"/>
          <w:szCs w:val="22"/>
        </w:rPr>
        <w:t>This funding opportunity is open to all local health departments</w:t>
      </w:r>
      <w:r>
        <w:rPr>
          <w:sz w:val="22"/>
          <w:szCs w:val="22"/>
        </w:rPr>
        <w:t xml:space="preserve"> who have completed the SPACECAT and have </w:t>
      </w:r>
      <w:r w:rsidRPr="00D04DA4">
        <w:rPr>
          <w:sz w:val="22"/>
          <w:szCs w:val="22"/>
        </w:rPr>
        <w:t xml:space="preserve">an interest in </w:t>
      </w:r>
      <w:r>
        <w:rPr>
          <w:sz w:val="22"/>
          <w:szCs w:val="22"/>
        </w:rPr>
        <w:t>building</w:t>
      </w:r>
      <w:r w:rsidRPr="00D04DA4">
        <w:rPr>
          <w:sz w:val="22"/>
          <w:szCs w:val="22"/>
        </w:rPr>
        <w:t xml:space="preserve"> their capacity </w:t>
      </w:r>
      <w:r>
        <w:rPr>
          <w:sz w:val="22"/>
          <w:szCs w:val="22"/>
        </w:rPr>
        <w:t>to address the intersection of</w:t>
      </w:r>
      <w:r w:rsidRPr="00D04DA4">
        <w:rPr>
          <w:sz w:val="22"/>
          <w:szCs w:val="22"/>
        </w:rPr>
        <w:t xml:space="preserve"> </w:t>
      </w:r>
      <w:r>
        <w:rPr>
          <w:sz w:val="22"/>
          <w:szCs w:val="22"/>
        </w:rPr>
        <w:t xml:space="preserve">suicide, overdose, and ACEs prevention. </w:t>
      </w:r>
    </w:p>
    <w:p w:rsidR="00A6704E" w:rsidP="00A6704E" w:rsidRDefault="00A6704E" w14:paraId="243C3FF4" w14:textId="77777777">
      <w:pPr>
        <w:pStyle w:val="Default"/>
        <w:rPr>
          <w:i/>
          <w:color w:val="FF0000"/>
          <w:sz w:val="20"/>
          <w:szCs w:val="20"/>
        </w:rPr>
      </w:pPr>
    </w:p>
    <w:p w:rsidR="00A6704E" w:rsidP="00C80450" w:rsidRDefault="00A6704E" w14:paraId="366E2C23" w14:textId="056EBE58">
      <w:pPr>
        <w:spacing w:line="240" w:lineRule="auto"/>
      </w:pPr>
      <w:r w:rsidRPr="00D04DA4">
        <w:t xml:space="preserve">Agreement with NACCHO standard contract terms and conditions is a requirement. </w:t>
      </w:r>
      <w:r w:rsidRPr="00D04DA4">
        <w:rPr>
          <w:b/>
        </w:rPr>
        <w:t>No modifications to the terms or contract language will be made. Applicants that cannot agree to NACCHO’s contract language should not apply for this initiative</w:t>
      </w:r>
      <w:r w:rsidRPr="00D04DA4">
        <w:t>. As part of the application, the contractor will be asked to verify that he/she has read NACCHO’s standard contract language and has provided a copy to the individual with signing authority at your organization for advanced consideration.</w:t>
      </w:r>
      <w:r>
        <w:t xml:space="preserve"> </w:t>
      </w:r>
      <w:r w:rsidRPr="00D0448D">
        <w:rPr>
          <w:iCs/>
        </w:rPr>
        <w:t>If you are an applicant from Florida, please contact NACCHO immediately for a copy of the Florida standard contract.</w:t>
      </w:r>
      <w:r w:rsidR="001E6504">
        <w:rPr>
          <w:iCs/>
        </w:rPr>
        <w:t xml:space="preserve"> Applicants should review all terms and conditions to determine whether or not they are appropriate for submitting a proposal.</w:t>
      </w:r>
    </w:p>
    <w:p w:rsidR="00A6704E" w:rsidP="00057287" w:rsidRDefault="00A6704E" w14:paraId="4D04F789" w14:textId="3583AECA">
      <w:pPr>
        <w:pStyle w:val="Default"/>
        <w:rPr>
          <w:iCs/>
          <w:sz w:val="22"/>
          <w:szCs w:val="22"/>
        </w:rPr>
      </w:pPr>
    </w:p>
    <w:p w:rsidR="00C80450" w:rsidP="00057287" w:rsidRDefault="00C80450" w14:paraId="17D54065" w14:textId="107FB195">
      <w:pPr>
        <w:pStyle w:val="Default"/>
        <w:rPr>
          <w:iCs/>
          <w:sz w:val="22"/>
          <w:szCs w:val="22"/>
        </w:rPr>
      </w:pPr>
    </w:p>
    <w:p w:rsidR="00C80450" w:rsidP="00057287" w:rsidRDefault="00C80450" w14:paraId="0DCC5488" w14:textId="7B9B156C">
      <w:pPr>
        <w:pStyle w:val="Default"/>
        <w:rPr>
          <w:iCs/>
          <w:sz w:val="22"/>
          <w:szCs w:val="22"/>
        </w:rPr>
      </w:pPr>
    </w:p>
    <w:p w:rsidR="00C80450" w:rsidP="00057287" w:rsidRDefault="00C80450" w14:paraId="0791C1E8" w14:textId="77777777">
      <w:pPr>
        <w:pStyle w:val="Default"/>
        <w:rPr>
          <w:iCs/>
          <w:sz w:val="22"/>
          <w:szCs w:val="22"/>
        </w:rPr>
      </w:pPr>
    </w:p>
    <w:p w:rsidRPr="00C80450" w:rsidR="002340D2" w:rsidP="002340D2" w:rsidRDefault="002340D2" w14:paraId="3DEFF568" w14:textId="12E5D53C">
      <w:pPr>
        <w:pStyle w:val="Default"/>
        <w:rPr>
          <w:sz w:val="20"/>
          <w:szCs w:val="20"/>
        </w:rPr>
      </w:pPr>
      <w:r w:rsidRPr="70B27C9D">
        <w:rPr>
          <w:b/>
          <w:bCs/>
          <w:smallCaps/>
          <w:color w:val="244061" w:themeColor="accent1" w:themeShade="80"/>
          <w:sz w:val="28"/>
          <w:szCs w:val="28"/>
          <w:u w:val="single"/>
        </w:rPr>
        <w:t>Schedule of Events</w:t>
      </w:r>
      <w:r>
        <w:br/>
      </w:r>
      <w:r w:rsidRPr="00F01C43">
        <w:rPr>
          <w:bCs/>
          <w:iCs/>
          <w:sz w:val="22"/>
          <w:szCs w:val="22"/>
        </w:rPr>
        <w:t>Please note the following deadlines and events for this application:</w:t>
      </w:r>
      <w:r w:rsidRPr="00F01C43">
        <w:rPr>
          <w:b/>
          <w:bCs/>
          <w:iCs/>
          <w:sz w:val="22"/>
          <w:szCs w:val="22"/>
        </w:rPr>
        <w:t xml:space="preserve"> </w:t>
      </w:r>
    </w:p>
    <w:p w:rsidR="002340D2" w:rsidP="002340D2" w:rsidRDefault="002340D2" w14:paraId="39A672CB" w14:textId="77777777">
      <w:pPr>
        <w:pStyle w:val="Default"/>
        <w:rPr>
          <w:b/>
          <w:bCs/>
          <w:sz w:val="23"/>
          <w:szCs w:val="23"/>
          <w:u w:val="single"/>
        </w:rPr>
      </w:pPr>
    </w:p>
    <w:tbl>
      <w:tblPr>
        <w:tblW w:w="7708"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68"/>
        <w:gridCol w:w="3940"/>
      </w:tblGrid>
      <w:tr w:rsidR="002340D2" w:rsidTr="001A4B0F" w14:paraId="251BBC96" w14:textId="77777777">
        <w:trPr>
          <w:trHeight w:val="395"/>
        </w:trPr>
        <w:tc>
          <w:tcPr>
            <w:tcW w:w="3768" w:type="dxa"/>
            <w:tcBorders>
              <w:top w:val="single" w:color="auto" w:sz="4" w:space="0"/>
              <w:left w:val="single" w:color="auto" w:sz="4" w:space="0"/>
              <w:bottom w:val="single" w:color="auto" w:sz="4" w:space="0"/>
              <w:right w:val="single" w:color="auto" w:sz="4" w:space="0"/>
            </w:tcBorders>
            <w:shd w:val="clear" w:color="auto" w:fill="215868" w:themeFill="accent5" w:themeFillShade="80"/>
            <w:vAlign w:val="center"/>
            <w:hideMark/>
          </w:tcPr>
          <w:p w:rsidRPr="0081358C" w:rsidR="002340D2" w:rsidP="001A4B0F" w:rsidRDefault="002340D2" w14:paraId="418EB1AF" w14:textId="77777777">
            <w:pPr>
              <w:pStyle w:val="TableHeadingWhite"/>
              <w:spacing w:line="276" w:lineRule="auto"/>
              <w:rPr>
                <w:rFonts w:ascii="Calibri" w:hAnsi="Calibri"/>
                <w:sz w:val="24"/>
                <w:lang w:eastAsia="ja-JP"/>
              </w:rPr>
            </w:pPr>
            <w:r w:rsidRPr="0081358C">
              <w:rPr>
                <w:rFonts w:ascii="Calibri" w:hAnsi="Calibri"/>
                <w:sz w:val="24"/>
                <w:lang w:eastAsia="ja-JP"/>
              </w:rPr>
              <w:tab/>
            </w:r>
            <w:r w:rsidRPr="0081358C">
              <w:rPr>
                <w:rFonts w:ascii="Calibri" w:hAnsi="Calibri"/>
                <w:sz w:val="24"/>
                <w:lang w:eastAsia="ja-JP"/>
              </w:rPr>
              <w:tab/>
            </w:r>
            <w:r w:rsidRPr="0081358C">
              <w:rPr>
                <w:rFonts w:ascii="Calibri" w:hAnsi="Calibri"/>
                <w:sz w:val="24"/>
                <w:lang w:eastAsia="ja-JP"/>
              </w:rPr>
              <w:t>Event</w:t>
            </w:r>
          </w:p>
        </w:tc>
        <w:tc>
          <w:tcPr>
            <w:tcW w:w="3940" w:type="dxa"/>
            <w:tcBorders>
              <w:top w:val="single" w:color="auto" w:sz="4" w:space="0"/>
              <w:left w:val="single" w:color="auto" w:sz="4" w:space="0"/>
              <w:bottom w:val="single" w:color="auto" w:sz="4" w:space="0"/>
              <w:right w:val="single" w:color="auto" w:sz="4" w:space="0"/>
            </w:tcBorders>
            <w:shd w:val="clear" w:color="auto" w:fill="215868" w:themeFill="accent5" w:themeFillShade="80"/>
            <w:vAlign w:val="center"/>
            <w:hideMark/>
          </w:tcPr>
          <w:p w:rsidRPr="0081358C" w:rsidR="002340D2" w:rsidP="001A4B0F" w:rsidRDefault="002340D2" w14:paraId="1A435B8C" w14:textId="77777777">
            <w:pPr>
              <w:pStyle w:val="TableHeadingWhite"/>
              <w:spacing w:line="276" w:lineRule="auto"/>
              <w:jc w:val="center"/>
              <w:rPr>
                <w:rFonts w:ascii="Calibri" w:hAnsi="Calibri"/>
                <w:sz w:val="24"/>
                <w:lang w:eastAsia="ja-JP"/>
              </w:rPr>
            </w:pPr>
            <w:r w:rsidRPr="1EE1375A">
              <w:rPr>
                <w:rFonts w:ascii="Calibri" w:hAnsi="Calibri"/>
                <w:sz w:val="24"/>
                <w:lang w:eastAsia="ja-JP"/>
              </w:rPr>
              <w:t>Date/Time</w:t>
            </w:r>
          </w:p>
        </w:tc>
      </w:tr>
      <w:tr w:rsidR="002340D2" w:rsidTr="001A4B0F" w14:paraId="3089FC41" w14:textId="77777777">
        <w:trPr>
          <w:trHeight w:val="530"/>
        </w:trPr>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AB161B" w:rsidR="002340D2" w:rsidP="001A4B0F" w:rsidRDefault="002340D2" w14:paraId="341E9F35" w14:textId="77777777">
            <w:pPr>
              <w:rPr>
                <w:rFonts w:ascii="Calibri" w:hAnsi="Calibri"/>
                <w:b/>
                <w:sz w:val="20"/>
                <w:szCs w:val="20"/>
                <w:lang w:eastAsia="ja-JP"/>
              </w:rPr>
            </w:pPr>
            <w:r w:rsidRPr="00AB161B">
              <w:rPr>
                <w:rFonts w:ascii="Calibri" w:hAnsi="Calibri"/>
                <w:b/>
                <w:sz w:val="20"/>
                <w:szCs w:val="20"/>
                <w:lang w:eastAsia="ja-JP"/>
              </w:rPr>
              <w:t>Submission Deadline</w:t>
            </w:r>
          </w:p>
        </w:tc>
        <w:tc>
          <w:tcPr>
            <w:tcW w:w="39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2340D2" w:rsidP="001A4B0F" w:rsidRDefault="008E3833" w14:paraId="15CE907E" w14:textId="4C4443E5">
            <w:pPr>
              <w:rPr>
                <w:rFonts w:ascii="Calibri" w:hAnsi="Calibri"/>
                <w:sz w:val="18"/>
                <w:szCs w:val="18"/>
                <w:lang w:eastAsia="ja-JP"/>
              </w:rPr>
            </w:pPr>
            <w:r>
              <w:rPr>
                <w:rFonts w:ascii="Calibri" w:hAnsi="Calibri"/>
                <w:sz w:val="18"/>
                <w:szCs w:val="18"/>
                <w:lang w:eastAsia="ja-JP"/>
              </w:rPr>
              <w:t>February 1</w:t>
            </w:r>
            <w:r w:rsidR="00074674">
              <w:rPr>
                <w:rFonts w:ascii="Calibri" w:hAnsi="Calibri"/>
                <w:sz w:val="18"/>
                <w:szCs w:val="18"/>
                <w:lang w:eastAsia="ja-JP"/>
              </w:rPr>
              <w:t>8</w:t>
            </w:r>
            <w:r w:rsidRPr="00CD015C" w:rsidR="008C0999">
              <w:rPr>
                <w:rFonts w:ascii="Calibri" w:hAnsi="Calibri"/>
                <w:sz w:val="18"/>
                <w:szCs w:val="18"/>
                <w:vertAlign w:val="superscript"/>
                <w:lang w:eastAsia="ja-JP"/>
              </w:rPr>
              <w:t>th</w:t>
            </w:r>
            <w:r w:rsidR="008C0999">
              <w:rPr>
                <w:rFonts w:ascii="Calibri" w:hAnsi="Calibri"/>
                <w:sz w:val="18"/>
                <w:szCs w:val="18"/>
                <w:lang w:eastAsia="ja-JP"/>
              </w:rPr>
              <w:t>, 2022</w:t>
            </w:r>
          </w:p>
        </w:tc>
      </w:tr>
      <w:tr w:rsidR="002340D2" w:rsidTr="001A4B0F" w14:paraId="6C3CE419" w14:textId="77777777">
        <w:trPr>
          <w:trHeight w:val="530"/>
        </w:trPr>
        <w:tc>
          <w:tcPr>
            <w:tcW w:w="376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B161B" w:rsidR="002340D2" w:rsidP="001A4B0F" w:rsidRDefault="002340D2" w14:paraId="389F1238" w14:textId="77777777">
            <w:pPr>
              <w:rPr>
                <w:rFonts w:ascii="Calibri" w:hAnsi="Calibri"/>
                <w:b/>
                <w:sz w:val="20"/>
                <w:szCs w:val="20"/>
                <w:lang w:eastAsia="ja-JP"/>
              </w:rPr>
            </w:pPr>
            <w:r w:rsidRPr="00AB161B">
              <w:rPr>
                <w:rFonts w:ascii="Calibri" w:hAnsi="Calibri"/>
                <w:b/>
                <w:sz w:val="20"/>
                <w:szCs w:val="20"/>
                <w:lang w:eastAsia="ja-JP"/>
              </w:rPr>
              <w:t>Award Notification Date</w:t>
            </w:r>
          </w:p>
        </w:tc>
        <w:tc>
          <w:tcPr>
            <w:tcW w:w="39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340D2" w:rsidP="001A4B0F" w:rsidRDefault="00192D84" w14:paraId="498AC88F" w14:textId="79A5B446">
            <w:pPr>
              <w:rPr>
                <w:rFonts w:ascii="Calibri" w:hAnsi="Calibri"/>
                <w:sz w:val="18"/>
                <w:szCs w:val="18"/>
                <w:lang w:eastAsia="ja-JP"/>
              </w:rPr>
            </w:pPr>
            <w:r>
              <w:rPr>
                <w:rFonts w:ascii="Calibri" w:hAnsi="Calibri"/>
                <w:sz w:val="18"/>
                <w:szCs w:val="18"/>
                <w:lang w:eastAsia="ja-JP"/>
              </w:rPr>
              <w:t>February</w:t>
            </w:r>
            <w:r w:rsidR="002340D2">
              <w:rPr>
                <w:rFonts w:ascii="Calibri" w:hAnsi="Calibri"/>
                <w:sz w:val="18"/>
                <w:szCs w:val="18"/>
                <w:lang w:eastAsia="ja-JP"/>
              </w:rPr>
              <w:t xml:space="preserve"> </w:t>
            </w:r>
            <w:r w:rsidR="008E3833">
              <w:rPr>
                <w:rFonts w:ascii="Calibri" w:hAnsi="Calibri"/>
                <w:sz w:val="18"/>
                <w:szCs w:val="18"/>
                <w:lang w:eastAsia="ja-JP"/>
              </w:rPr>
              <w:t>28</w:t>
            </w:r>
            <w:r w:rsidRPr="00CD015C" w:rsidR="008E3833">
              <w:rPr>
                <w:rFonts w:ascii="Calibri" w:hAnsi="Calibri"/>
                <w:sz w:val="18"/>
                <w:szCs w:val="18"/>
                <w:vertAlign w:val="superscript"/>
                <w:lang w:eastAsia="ja-JP"/>
              </w:rPr>
              <w:t>th</w:t>
            </w:r>
            <w:r w:rsidR="008C0999">
              <w:rPr>
                <w:rFonts w:ascii="Calibri" w:hAnsi="Calibri"/>
                <w:sz w:val="18"/>
                <w:szCs w:val="18"/>
                <w:lang w:eastAsia="ja-JP"/>
              </w:rPr>
              <w:t>, 2022</w:t>
            </w:r>
          </w:p>
        </w:tc>
      </w:tr>
      <w:tr w:rsidR="002340D2" w:rsidTr="001A4B0F" w14:paraId="27B69ABB" w14:textId="77777777">
        <w:trPr>
          <w:trHeight w:val="530"/>
        </w:trPr>
        <w:tc>
          <w:tcPr>
            <w:tcW w:w="37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AB161B" w:rsidR="002340D2" w:rsidP="001A4B0F" w:rsidRDefault="002340D2" w14:paraId="77077E3A" w14:textId="77777777">
            <w:pPr>
              <w:rPr>
                <w:rFonts w:ascii="Calibri" w:hAnsi="Calibri"/>
                <w:b/>
                <w:sz w:val="20"/>
                <w:szCs w:val="20"/>
                <w:lang w:eastAsia="ja-JP"/>
              </w:rPr>
            </w:pPr>
            <w:r w:rsidRPr="00AB161B">
              <w:rPr>
                <w:rFonts w:ascii="Calibri" w:hAnsi="Calibri"/>
                <w:b/>
                <w:sz w:val="20"/>
                <w:szCs w:val="20"/>
                <w:lang w:eastAsia="ja-JP"/>
              </w:rPr>
              <w:t>Anticipated Contract Start Date</w:t>
            </w:r>
          </w:p>
        </w:tc>
        <w:tc>
          <w:tcPr>
            <w:tcW w:w="39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2340D2" w:rsidP="001A4B0F" w:rsidRDefault="002340D2" w14:paraId="75826DAE" w14:textId="133A0130">
            <w:pPr>
              <w:rPr>
                <w:rFonts w:ascii="Calibri" w:hAnsi="Calibri"/>
                <w:sz w:val="18"/>
                <w:szCs w:val="18"/>
                <w:lang w:eastAsia="ja-JP"/>
              </w:rPr>
            </w:pPr>
            <w:r>
              <w:rPr>
                <w:rFonts w:ascii="Calibri" w:hAnsi="Calibri"/>
                <w:sz w:val="18"/>
                <w:szCs w:val="18"/>
                <w:lang w:eastAsia="ja-JP"/>
              </w:rPr>
              <w:t>February</w:t>
            </w:r>
            <w:r w:rsidR="008C0999">
              <w:rPr>
                <w:rFonts w:ascii="Calibri" w:hAnsi="Calibri"/>
                <w:sz w:val="18"/>
                <w:szCs w:val="18"/>
                <w:lang w:eastAsia="ja-JP"/>
              </w:rPr>
              <w:t xml:space="preserve"> </w:t>
            </w:r>
            <w:r w:rsidR="008E3833">
              <w:rPr>
                <w:rFonts w:ascii="Calibri" w:hAnsi="Calibri"/>
                <w:sz w:val="18"/>
                <w:szCs w:val="18"/>
                <w:lang w:eastAsia="ja-JP"/>
              </w:rPr>
              <w:t>28</w:t>
            </w:r>
            <w:r w:rsidRPr="00CD015C" w:rsidR="008E3833">
              <w:rPr>
                <w:rFonts w:ascii="Calibri" w:hAnsi="Calibri"/>
                <w:sz w:val="18"/>
                <w:szCs w:val="18"/>
                <w:vertAlign w:val="superscript"/>
                <w:lang w:eastAsia="ja-JP"/>
              </w:rPr>
              <w:t>th</w:t>
            </w:r>
            <w:r w:rsidR="008C0999">
              <w:rPr>
                <w:rFonts w:ascii="Calibri" w:hAnsi="Calibri"/>
                <w:sz w:val="18"/>
                <w:szCs w:val="18"/>
                <w:lang w:eastAsia="ja-JP"/>
              </w:rPr>
              <w:t>, 2022</w:t>
            </w:r>
          </w:p>
        </w:tc>
      </w:tr>
      <w:tr w:rsidR="002340D2" w:rsidTr="001A4B0F" w14:paraId="4ABBE3B5" w14:textId="77777777">
        <w:trPr>
          <w:trHeight w:val="530"/>
        </w:trPr>
        <w:tc>
          <w:tcPr>
            <w:tcW w:w="3768"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B161B" w:rsidR="002340D2" w:rsidP="001A4B0F" w:rsidRDefault="002340D2" w14:paraId="235ACEC7" w14:textId="77777777">
            <w:pPr>
              <w:rPr>
                <w:rFonts w:ascii="Calibri" w:hAnsi="Calibri"/>
                <w:b/>
                <w:sz w:val="20"/>
                <w:szCs w:val="20"/>
                <w:lang w:eastAsia="ja-JP"/>
              </w:rPr>
            </w:pPr>
            <w:r w:rsidRPr="00AB161B">
              <w:rPr>
                <w:rFonts w:ascii="Calibri" w:hAnsi="Calibri"/>
                <w:b/>
                <w:sz w:val="20"/>
                <w:szCs w:val="20"/>
                <w:lang w:eastAsia="ja-JP"/>
              </w:rPr>
              <w:t>Anticipated Contract End Date</w:t>
            </w:r>
          </w:p>
        </w:tc>
        <w:tc>
          <w:tcPr>
            <w:tcW w:w="39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2340D2" w:rsidP="001A4B0F" w:rsidRDefault="008E3833" w14:paraId="6DBB6FC6" w14:textId="334C3E8B">
            <w:pPr>
              <w:rPr>
                <w:rFonts w:ascii="Calibri" w:hAnsi="Calibri"/>
                <w:sz w:val="18"/>
                <w:szCs w:val="18"/>
                <w:lang w:eastAsia="ja-JP"/>
              </w:rPr>
            </w:pPr>
            <w:r>
              <w:rPr>
                <w:rFonts w:ascii="Calibri" w:hAnsi="Calibri"/>
                <w:sz w:val="18"/>
                <w:szCs w:val="18"/>
                <w:lang w:eastAsia="ja-JP"/>
              </w:rPr>
              <w:t xml:space="preserve">August </w:t>
            </w:r>
            <w:r w:rsidR="00192D84">
              <w:rPr>
                <w:rFonts w:ascii="Calibri" w:hAnsi="Calibri"/>
                <w:sz w:val="18"/>
                <w:szCs w:val="18"/>
                <w:lang w:eastAsia="ja-JP"/>
              </w:rPr>
              <w:t>31</w:t>
            </w:r>
            <w:r w:rsidRPr="00192D84" w:rsidR="00192D84">
              <w:rPr>
                <w:rFonts w:ascii="Calibri" w:hAnsi="Calibri"/>
                <w:sz w:val="18"/>
                <w:szCs w:val="18"/>
                <w:vertAlign w:val="superscript"/>
                <w:lang w:eastAsia="ja-JP"/>
              </w:rPr>
              <w:t>st</w:t>
            </w:r>
            <w:r w:rsidR="00192D84">
              <w:rPr>
                <w:rFonts w:ascii="Calibri" w:hAnsi="Calibri"/>
                <w:sz w:val="18"/>
                <w:szCs w:val="18"/>
                <w:lang w:eastAsia="ja-JP"/>
              </w:rPr>
              <w:t>, 2022</w:t>
            </w:r>
            <w:r w:rsidR="002340D2">
              <w:rPr>
                <w:rFonts w:ascii="Calibri" w:hAnsi="Calibri"/>
                <w:sz w:val="18"/>
                <w:szCs w:val="18"/>
                <w:lang w:eastAsia="ja-JP"/>
              </w:rPr>
              <w:t xml:space="preserve"> </w:t>
            </w:r>
          </w:p>
        </w:tc>
      </w:tr>
    </w:tbl>
    <w:p w:rsidRPr="009E4C32" w:rsidR="002340D2" w:rsidP="00057287" w:rsidRDefault="002340D2" w14:paraId="56AF7543" w14:textId="77777777">
      <w:pPr>
        <w:pStyle w:val="Default"/>
        <w:rPr>
          <w:rFonts w:asciiTheme="minorHAnsi" w:hAnsiTheme="minorHAnsi"/>
          <w:b/>
          <w:bCs/>
          <w:iCs/>
          <w:color w:val="auto"/>
          <w:sz w:val="22"/>
          <w:szCs w:val="22"/>
        </w:rPr>
      </w:pPr>
    </w:p>
    <w:p w:rsidRPr="00551BF5" w:rsidR="000A6522" w:rsidP="000A6522" w:rsidRDefault="000A6522" w14:paraId="3649521F" w14:textId="46937285">
      <w:pPr>
        <w:pStyle w:val="Default"/>
        <w:rPr>
          <w:b/>
          <w:bCs/>
          <w:smallCaps/>
          <w:color w:val="244061" w:themeColor="accent1" w:themeShade="80"/>
          <w:sz w:val="28"/>
          <w:szCs w:val="28"/>
          <w:u w:val="single"/>
        </w:rPr>
      </w:pPr>
      <w:r w:rsidRPr="1EE1375A">
        <w:rPr>
          <w:b/>
          <w:bCs/>
          <w:smallCaps/>
          <w:color w:val="244061" w:themeColor="accent1" w:themeShade="80"/>
          <w:sz w:val="28"/>
          <w:szCs w:val="28"/>
          <w:u w:val="single"/>
        </w:rPr>
        <w:t>Pro</w:t>
      </w:r>
      <w:r>
        <w:rPr>
          <w:b/>
          <w:bCs/>
          <w:smallCaps/>
          <w:color w:val="244061" w:themeColor="accent1" w:themeShade="80"/>
          <w:sz w:val="28"/>
          <w:szCs w:val="28"/>
          <w:u w:val="single"/>
        </w:rPr>
        <w:t xml:space="preserve">ject </w:t>
      </w:r>
      <w:r w:rsidR="00E523C3">
        <w:rPr>
          <w:b/>
          <w:bCs/>
          <w:smallCaps/>
          <w:color w:val="244061" w:themeColor="accent1" w:themeShade="80"/>
          <w:sz w:val="28"/>
          <w:szCs w:val="28"/>
          <w:u w:val="single"/>
        </w:rPr>
        <w:t xml:space="preserve">Goals &amp; Technical </w:t>
      </w:r>
      <w:r>
        <w:rPr>
          <w:b/>
          <w:bCs/>
          <w:smallCaps/>
          <w:color w:val="244061" w:themeColor="accent1" w:themeShade="80"/>
          <w:sz w:val="28"/>
          <w:szCs w:val="28"/>
          <w:u w:val="single"/>
        </w:rPr>
        <w:t xml:space="preserve">Requirements </w:t>
      </w:r>
    </w:p>
    <w:p w:rsidR="5EFEAE55" w:rsidP="1EE1375A" w:rsidRDefault="009F4DE8" w14:paraId="33165963" w14:textId="352AAFBD">
      <w:pPr>
        <w:pStyle w:val="Default"/>
        <w:rPr>
          <w:rFonts w:eastAsia="Calibri" w:asciiTheme="minorHAnsi" w:hAnsiTheme="minorHAnsi" w:cstheme="minorHAnsi"/>
          <w:color w:val="000000" w:themeColor="text1"/>
          <w:sz w:val="22"/>
          <w:szCs w:val="22"/>
        </w:rPr>
      </w:pPr>
      <w:r w:rsidRPr="00C93E0E">
        <w:rPr>
          <w:rFonts w:eastAsia="Calibri" w:asciiTheme="minorHAnsi" w:hAnsiTheme="minorHAnsi" w:cstheme="minorHAnsi"/>
          <w:color w:val="000000" w:themeColor="text1"/>
          <w:sz w:val="22"/>
          <w:szCs w:val="22"/>
        </w:rPr>
        <w:t xml:space="preserve">NACCHO and a team of consultants will serve as technical assistance providers for the selected </w:t>
      </w:r>
      <w:r w:rsidRPr="00C93E0E" w:rsidR="00DA70F6">
        <w:rPr>
          <w:rFonts w:eastAsia="Calibri" w:asciiTheme="minorHAnsi" w:hAnsiTheme="minorHAnsi" w:cstheme="minorHAnsi"/>
          <w:color w:val="000000" w:themeColor="text1"/>
          <w:sz w:val="22"/>
          <w:szCs w:val="22"/>
        </w:rPr>
        <w:t>jurisdictions</w:t>
      </w:r>
      <w:r w:rsidRPr="00C93E0E">
        <w:rPr>
          <w:rFonts w:eastAsia="Calibri" w:asciiTheme="minorHAnsi" w:hAnsiTheme="minorHAnsi" w:cstheme="minorHAnsi"/>
          <w:color w:val="000000" w:themeColor="text1"/>
          <w:sz w:val="22"/>
          <w:szCs w:val="22"/>
        </w:rPr>
        <w:t xml:space="preserve">. </w:t>
      </w:r>
      <w:r w:rsidRPr="00C93E0E" w:rsidR="5EFEAE55">
        <w:rPr>
          <w:rFonts w:eastAsia="Calibri" w:asciiTheme="minorHAnsi" w:hAnsiTheme="minorHAnsi" w:cstheme="minorHAnsi"/>
          <w:color w:val="000000" w:themeColor="text1"/>
          <w:sz w:val="22"/>
          <w:szCs w:val="22"/>
        </w:rPr>
        <w:t xml:space="preserve">Over the six-month contract period, the selected LHDs will work with </w:t>
      </w:r>
      <w:r w:rsidRPr="00C93E0E" w:rsidR="1C26F82B">
        <w:rPr>
          <w:rFonts w:eastAsia="Calibri" w:asciiTheme="minorHAnsi" w:hAnsiTheme="minorHAnsi" w:cstheme="minorHAnsi"/>
          <w:color w:val="000000" w:themeColor="text1"/>
          <w:sz w:val="22"/>
          <w:szCs w:val="22"/>
        </w:rPr>
        <w:t>NACCHO and</w:t>
      </w:r>
      <w:r w:rsidRPr="00C93E0E" w:rsidR="003A4F33">
        <w:rPr>
          <w:rFonts w:eastAsia="Calibri" w:asciiTheme="minorHAnsi" w:hAnsiTheme="minorHAnsi" w:cstheme="minorHAnsi"/>
          <w:color w:val="000000" w:themeColor="text1"/>
          <w:sz w:val="22"/>
          <w:szCs w:val="22"/>
        </w:rPr>
        <w:t xml:space="preserve"> the</w:t>
      </w:r>
      <w:r w:rsidRPr="00C93E0E" w:rsidR="1C26F82B">
        <w:rPr>
          <w:rFonts w:eastAsia="Calibri" w:asciiTheme="minorHAnsi" w:hAnsiTheme="minorHAnsi" w:cstheme="minorHAnsi"/>
          <w:color w:val="000000" w:themeColor="text1"/>
          <w:sz w:val="22"/>
          <w:szCs w:val="22"/>
        </w:rPr>
        <w:t xml:space="preserve"> </w:t>
      </w:r>
      <w:r w:rsidRPr="00C93E0E" w:rsidR="5EFEAE55">
        <w:rPr>
          <w:rFonts w:eastAsia="Calibri" w:asciiTheme="minorHAnsi" w:hAnsiTheme="minorHAnsi" w:cstheme="minorHAnsi"/>
          <w:color w:val="000000" w:themeColor="text1"/>
          <w:sz w:val="22"/>
          <w:szCs w:val="22"/>
        </w:rPr>
        <w:t>consultants</w:t>
      </w:r>
      <w:r w:rsidRPr="00C93E0E" w:rsidR="00660F4D">
        <w:rPr>
          <w:rFonts w:eastAsia="Calibri" w:asciiTheme="minorHAnsi" w:hAnsiTheme="minorHAnsi" w:cstheme="minorHAnsi"/>
          <w:color w:val="000000" w:themeColor="text1"/>
          <w:sz w:val="22"/>
          <w:szCs w:val="22"/>
        </w:rPr>
        <w:t xml:space="preserve"> </w:t>
      </w:r>
      <w:r w:rsidRPr="00C93E0E" w:rsidR="00BD7EA9">
        <w:rPr>
          <w:rFonts w:eastAsia="Calibri" w:asciiTheme="minorHAnsi" w:hAnsiTheme="minorHAnsi" w:cstheme="minorHAnsi"/>
          <w:color w:val="000000" w:themeColor="text1"/>
          <w:sz w:val="22"/>
          <w:szCs w:val="22"/>
        </w:rPr>
        <w:t>on</w:t>
      </w:r>
      <w:r w:rsidRPr="00C93E0E" w:rsidR="0070739A">
        <w:rPr>
          <w:rFonts w:eastAsia="Calibri" w:asciiTheme="minorHAnsi" w:hAnsiTheme="minorHAnsi" w:cstheme="minorHAnsi"/>
          <w:color w:val="000000" w:themeColor="text1"/>
          <w:sz w:val="22"/>
          <w:szCs w:val="22"/>
        </w:rPr>
        <w:t xml:space="preserve"> </w:t>
      </w:r>
      <w:r w:rsidRPr="00C93E0E" w:rsidR="00660F4D">
        <w:rPr>
          <w:rFonts w:eastAsia="Calibri" w:asciiTheme="minorHAnsi" w:hAnsiTheme="minorHAnsi" w:cstheme="minorHAnsi"/>
          <w:color w:val="000000" w:themeColor="text1"/>
          <w:sz w:val="22"/>
          <w:szCs w:val="22"/>
        </w:rPr>
        <w:t xml:space="preserve">the specific activities </w:t>
      </w:r>
      <w:r w:rsidRPr="00C93E0E" w:rsidR="0070739A">
        <w:rPr>
          <w:rFonts w:eastAsia="Calibri" w:asciiTheme="minorHAnsi" w:hAnsiTheme="minorHAnsi" w:cstheme="minorHAnsi"/>
          <w:color w:val="000000" w:themeColor="text1"/>
          <w:sz w:val="22"/>
          <w:szCs w:val="22"/>
        </w:rPr>
        <w:t>outlined below</w:t>
      </w:r>
      <w:r w:rsidRPr="00C93E0E" w:rsidR="00092473">
        <w:rPr>
          <w:rFonts w:eastAsia="Calibri" w:asciiTheme="minorHAnsi" w:hAnsiTheme="minorHAnsi" w:cstheme="minorHAnsi"/>
          <w:color w:val="000000" w:themeColor="text1"/>
          <w:sz w:val="22"/>
          <w:szCs w:val="22"/>
        </w:rPr>
        <w:t xml:space="preserve">. </w:t>
      </w:r>
      <w:r w:rsidRPr="00C93E0E" w:rsidR="0018415D">
        <w:rPr>
          <w:rFonts w:eastAsia="Calibri" w:asciiTheme="minorHAnsi" w:hAnsiTheme="minorHAnsi" w:cstheme="minorHAnsi"/>
          <w:color w:val="000000" w:themeColor="text1"/>
          <w:sz w:val="22"/>
          <w:szCs w:val="22"/>
        </w:rPr>
        <w:t xml:space="preserve">A final SOW will be agreed upon after award acceptance by applicant. </w:t>
      </w:r>
    </w:p>
    <w:p w:rsidR="0084778A" w:rsidP="1EE1375A" w:rsidRDefault="0084778A" w14:paraId="6774E107" w14:textId="77777777">
      <w:pPr>
        <w:pStyle w:val="Default"/>
        <w:rPr>
          <w:rFonts w:eastAsia="Calibri" w:asciiTheme="minorHAnsi" w:hAnsiTheme="minorHAnsi" w:cstheme="minorHAnsi"/>
          <w:color w:val="000000" w:themeColor="text1"/>
          <w:sz w:val="22"/>
          <w:szCs w:val="22"/>
        </w:rPr>
      </w:pPr>
    </w:p>
    <w:p w:rsidRPr="00C80450" w:rsidR="1EE1375A" w:rsidP="00C80450" w:rsidRDefault="0084778A" w14:paraId="763ADFBD" w14:textId="2A096DFD">
      <w:pPr>
        <w:pStyle w:val="Heading3"/>
      </w:pPr>
      <w:r w:rsidRPr="00C80450">
        <w:t>Scope of Work</w:t>
      </w:r>
    </w:p>
    <w:p w:rsidRPr="00F9347C" w:rsidR="059AE1E1" w:rsidP="00C80450" w:rsidRDefault="059AE1E1" w14:paraId="75AB8FCC" w14:textId="6435986D">
      <w:pPr>
        <w:pStyle w:val="ListParagraph"/>
        <w:numPr>
          <w:ilvl w:val="0"/>
          <w:numId w:val="47"/>
        </w:numPr>
        <w:spacing w:line="240" w:lineRule="auto"/>
        <w:contextualSpacing w:val="0"/>
        <w:rPr>
          <w:rFonts w:eastAsiaTheme="minorEastAsia" w:cstheme="minorHAnsi"/>
          <w:b/>
          <w:bCs/>
        </w:rPr>
      </w:pPr>
      <w:bookmarkStart w:name="_Hlk92271910" w:id="0"/>
      <w:r w:rsidRPr="00F9347C">
        <w:rPr>
          <w:rFonts w:eastAsiaTheme="minorEastAsia" w:cstheme="minorHAnsi"/>
          <w:b/>
          <w:bCs/>
        </w:rPr>
        <w:t>Initial Consultation Calls</w:t>
      </w:r>
      <w:r w:rsidRPr="00F9347C">
        <w:rPr>
          <w:rFonts w:eastAsiaTheme="minorEastAsia" w:cstheme="minorHAnsi"/>
        </w:rPr>
        <w:t xml:space="preserve">—Each site will have an initial call with the consultant to review, discuss, and provide greater context to their assessment results. This call will help set the stage for all later workshops, recommendations, etc. </w:t>
      </w:r>
    </w:p>
    <w:p w:rsidRPr="00F9347C" w:rsidR="059AE1E1" w:rsidP="00C80450" w:rsidRDefault="059AE1E1" w14:paraId="2CA2909C" w14:textId="66FA72B0">
      <w:pPr>
        <w:pStyle w:val="ListParagraph"/>
        <w:numPr>
          <w:ilvl w:val="0"/>
          <w:numId w:val="47"/>
        </w:numPr>
        <w:spacing w:line="240" w:lineRule="auto"/>
        <w:contextualSpacing w:val="0"/>
        <w:rPr>
          <w:rFonts w:eastAsiaTheme="minorEastAsia" w:cstheme="minorHAnsi"/>
          <w:b/>
          <w:bCs/>
        </w:rPr>
      </w:pPr>
      <w:r w:rsidRPr="00F9347C">
        <w:rPr>
          <w:rFonts w:eastAsiaTheme="minorEastAsia" w:cstheme="minorHAnsi"/>
          <w:b/>
          <w:bCs/>
        </w:rPr>
        <w:t>SOAR Analysis Workshops</w:t>
      </w:r>
      <w:r w:rsidRPr="00F9347C">
        <w:rPr>
          <w:rFonts w:eastAsiaTheme="minorEastAsia" w:cstheme="minorHAnsi"/>
        </w:rPr>
        <w:t>—</w:t>
      </w:r>
      <w:r w:rsidRPr="00F9347C" w:rsidR="7AEE99F7">
        <w:rPr>
          <w:rFonts w:eastAsiaTheme="minorEastAsia" w:cstheme="minorHAnsi"/>
        </w:rPr>
        <w:t xml:space="preserve">LHDs will participate in a </w:t>
      </w:r>
      <w:r w:rsidRPr="00C93E0E" w:rsidR="7AEE99F7">
        <w:rPr>
          <w:rFonts w:eastAsia="Calibri" w:cstheme="minorHAnsi"/>
          <w:color w:val="000000" w:themeColor="text1"/>
        </w:rPr>
        <w:t>SOAR (Strengths, Opportunities, Aspirations, and Results) Analysis Workshop</w:t>
      </w:r>
      <w:r w:rsidRPr="00C93E0E" w:rsidR="77A683FF">
        <w:rPr>
          <w:rFonts w:eastAsia="Calibri" w:cstheme="minorHAnsi"/>
          <w:color w:val="000000" w:themeColor="text1"/>
        </w:rPr>
        <w:t xml:space="preserve"> </w:t>
      </w:r>
      <w:r w:rsidRPr="00C93E0E" w:rsidR="35661C9E">
        <w:rPr>
          <w:rFonts w:eastAsia="Calibri" w:cstheme="minorHAnsi"/>
          <w:color w:val="000000" w:themeColor="text1"/>
        </w:rPr>
        <w:t>led by</w:t>
      </w:r>
      <w:r w:rsidRPr="00C93E0E" w:rsidR="522C131F">
        <w:rPr>
          <w:rFonts w:eastAsia="Calibri" w:cstheme="minorHAnsi"/>
          <w:color w:val="000000" w:themeColor="text1"/>
        </w:rPr>
        <w:t xml:space="preserve"> our team</w:t>
      </w:r>
      <w:r w:rsidRPr="00C93E0E" w:rsidR="182BC090">
        <w:rPr>
          <w:rFonts w:eastAsia="Calibri" w:cstheme="minorHAnsi"/>
          <w:color w:val="000000" w:themeColor="text1"/>
        </w:rPr>
        <w:t xml:space="preserve"> of</w:t>
      </w:r>
      <w:r w:rsidRPr="00C93E0E" w:rsidR="522C131F">
        <w:rPr>
          <w:rFonts w:eastAsia="Calibri" w:cstheme="minorHAnsi"/>
          <w:color w:val="000000" w:themeColor="text1"/>
        </w:rPr>
        <w:t xml:space="preserve"> consultants, </w:t>
      </w:r>
      <w:r w:rsidRPr="00C93E0E" w:rsidR="2DD5554F">
        <w:rPr>
          <w:rFonts w:eastAsia="Calibri" w:cstheme="minorHAnsi"/>
          <w:color w:val="000000" w:themeColor="text1"/>
        </w:rPr>
        <w:t>who will use the SPACECAT results to engage</w:t>
      </w:r>
      <w:r w:rsidR="00194BCE">
        <w:rPr>
          <w:rFonts w:eastAsia="Calibri" w:cstheme="minorHAnsi"/>
          <w:color w:val="000000" w:themeColor="text1"/>
        </w:rPr>
        <w:t xml:space="preserve"> LHDs</w:t>
      </w:r>
      <w:r w:rsidRPr="00C93E0E" w:rsidR="2DD5554F">
        <w:rPr>
          <w:rFonts w:eastAsia="Calibri" w:cstheme="minorHAnsi"/>
          <w:color w:val="000000" w:themeColor="text1"/>
        </w:rPr>
        <w:t xml:space="preserve"> in a </w:t>
      </w:r>
      <w:r w:rsidRPr="00C93E0E" w:rsidR="58CF5B37">
        <w:rPr>
          <w:rFonts w:eastAsia="Calibri" w:cstheme="minorHAnsi"/>
          <w:color w:val="000000" w:themeColor="text1"/>
        </w:rPr>
        <w:t>strengths</w:t>
      </w:r>
      <w:r w:rsidRPr="00C93E0E" w:rsidR="2DD5554F">
        <w:rPr>
          <w:rFonts w:eastAsia="Calibri" w:cstheme="minorHAnsi"/>
          <w:color w:val="000000" w:themeColor="text1"/>
        </w:rPr>
        <w:t xml:space="preserve">-based strategic planning exercise to identify potential strengths and opportunities for improvement. </w:t>
      </w:r>
    </w:p>
    <w:p w:rsidRPr="00840AEB" w:rsidR="059AE1E1" w:rsidP="00C80450" w:rsidRDefault="059AE1E1" w14:paraId="50D9309E" w14:textId="517DA4C7">
      <w:pPr>
        <w:pStyle w:val="ListParagraph"/>
        <w:numPr>
          <w:ilvl w:val="0"/>
          <w:numId w:val="47"/>
        </w:numPr>
        <w:spacing w:line="240" w:lineRule="auto"/>
        <w:contextualSpacing w:val="0"/>
        <w:rPr>
          <w:rFonts w:eastAsiaTheme="minorEastAsia" w:cstheme="minorHAnsi"/>
          <w:b/>
          <w:bCs/>
        </w:rPr>
      </w:pPr>
      <w:r w:rsidRPr="00F9347C">
        <w:rPr>
          <w:rFonts w:eastAsiaTheme="minorEastAsia" w:cstheme="minorHAnsi"/>
          <w:b/>
          <w:bCs/>
        </w:rPr>
        <w:t>Action Planning Workshops</w:t>
      </w:r>
      <w:r w:rsidRPr="00F9347C">
        <w:rPr>
          <w:rFonts w:eastAsiaTheme="minorEastAsia" w:cstheme="minorHAnsi"/>
        </w:rPr>
        <w:t>—</w:t>
      </w:r>
      <w:r w:rsidRPr="00F9347C" w:rsidR="6C201B25">
        <w:rPr>
          <w:rFonts w:eastAsiaTheme="minorEastAsia" w:cstheme="minorHAnsi"/>
        </w:rPr>
        <w:t>Each participating site</w:t>
      </w:r>
      <w:r w:rsidRPr="00F9347C" w:rsidR="6F5A82E4">
        <w:rPr>
          <w:rFonts w:eastAsiaTheme="minorEastAsia" w:cstheme="minorHAnsi"/>
        </w:rPr>
        <w:t xml:space="preserve"> will then attend a more intensive action planning workshop that will require them to use their SPACECAT and SOAR results to develop an action plan</w:t>
      </w:r>
      <w:r w:rsidR="00A329CF">
        <w:rPr>
          <w:rFonts w:eastAsiaTheme="minorEastAsia" w:cstheme="minorHAnsi"/>
        </w:rPr>
        <w:t xml:space="preserve"> to strengthen capacity to prevent suicide, overdose, and ACEs in their identified priority areas</w:t>
      </w:r>
      <w:r w:rsidRPr="00F9347C" w:rsidR="6F5A82E4">
        <w:rPr>
          <w:rFonts w:eastAsiaTheme="minorEastAsia" w:cstheme="minorHAnsi"/>
        </w:rPr>
        <w:t xml:space="preserve">. </w:t>
      </w:r>
    </w:p>
    <w:p w:rsidRPr="00840AEB" w:rsidR="059AE1E1" w:rsidP="00C80450" w:rsidRDefault="00937089" w14:paraId="428DD400" w14:textId="219D3C0C">
      <w:pPr>
        <w:pStyle w:val="ListParagraph"/>
        <w:numPr>
          <w:ilvl w:val="0"/>
          <w:numId w:val="47"/>
        </w:numPr>
        <w:spacing w:line="240" w:lineRule="auto"/>
        <w:contextualSpacing w:val="0"/>
        <w:rPr>
          <w:rFonts w:eastAsiaTheme="minorEastAsia" w:cstheme="minorHAnsi"/>
          <w:b/>
          <w:bCs/>
        </w:rPr>
      </w:pPr>
      <w:r>
        <w:rPr>
          <w:rFonts w:eastAsiaTheme="minorEastAsia" w:cstheme="minorHAnsi"/>
          <w:b/>
          <w:bCs/>
        </w:rPr>
        <w:t>Focus Groups</w:t>
      </w:r>
      <w:r w:rsidRPr="00F9347C" w:rsidR="00924CDE">
        <w:rPr>
          <w:rFonts w:eastAsiaTheme="minorEastAsia" w:cstheme="minorHAnsi"/>
        </w:rPr>
        <w:t>—</w:t>
      </w:r>
      <w:r w:rsidR="00924CDE">
        <w:rPr>
          <w:rFonts w:eastAsiaTheme="minorEastAsia" w:cstheme="minorHAnsi"/>
        </w:rPr>
        <w:t xml:space="preserve"> </w:t>
      </w:r>
      <w:r w:rsidRPr="00840AEB" w:rsidR="00CA00DC">
        <w:rPr>
          <w:rFonts w:eastAsiaTheme="minorEastAsia" w:cstheme="minorHAnsi"/>
        </w:rPr>
        <w:t xml:space="preserve">LHDs will </w:t>
      </w:r>
      <w:r w:rsidRPr="00840AEB">
        <w:rPr>
          <w:rFonts w:eastAsiaTheme="minorEastAsia" w:cstheme="minorHAnsi"/>
        </w:rPr>
        <w:t xml:space="preserve">participate in a focus group to provide feedback on a draft quick start guide </w:t>
      </w:r>
      <w:r w:rsidRPr="00840AEB" w:rsidR="002B374F">
        <w:rPr>
          <w:rFonts w:eastAsiaTheme="minorEastAsia" w:cstheme="minorHAnsi"/>
        </w:rPr>
        <w:t>that will be developed</w:t>
      </w:r>
      <w:r w:rsidR="00A35C76">
        <w:rPr>
          <w:rFonts w:eastAsiaTheme="minorEastAsia" w:cstheme="minorHAnsi"/>
        </w:rPr>
        <w:t xml:space="preserve"> by NACCHO in collaboration with the TA consultants. The goal of this guide is</w:t>
      </w:r>
      <w:r w:rsidRPr="00840AEB" w:rsidR="002B374F">
        <w:rPr>
          <w:rFonts w:eastAsiaTheme="minorEastAsia" w:cstheme="minorHAnsi"/>
        </w:rPr>
        <w:t xml:space="preserve"> to reflect the one-on-one TA provided</w:t>
      </w:r>
      <w:r w:rsidRPr="00840AEB" w:rsidR="004F2CE2">
        <w:rPr>
          <w:rFonts w:eastAsiaTheme="minorEastAsia" w:cstheme="minorHAnsi"/>
        </w:rPr>
        <w:t xml:space="preserve"> and help future users of SPACECAT begin the initial planning process for strengthening capacity in suicide, overdose, and ACEs prevention.</w:t>
      </w:r>
    </w:p>
    <w:p w:rsidRPr="00840AEB" w:rsidR="00A95477" w:rsidP="00C80450" w:rsidRDefault="059AE1E1" w14:paraId="6DB8E0A7" w14:textId="6C7778EF">
      <w:pPr>
        <w:pStyle w:val="ListParagraph"/>
        <w:numPr>
          <w:ilvl w:val="0"/>
          <w:numId w:val="47"/>
        </w:numPr>
        <w:spacing w:line="240" w:lineRule="auto"/>
        <w:contextualSpacing w:val="0"/>
        <w:rPr>
          <w:rFonts w:eastAsiaTheme="minorEastAsia" w:cstheme="minorHAnsi"/>
          <w:b/>
          <w:bCs/>
        </w:rPr>
      </w:pPr>
      <w:r w:rsidRPr="00F9347C">
        <w:rPr>
          <w:rFonts w:eastAsiaTheme="minorEastAsia" w:cstheme="minorHAnsi"/>
          <w:b/>
          <w:bCs/>
        </w:rPr>
        <w:t>Follow-Up Consultation</w:t>
      </w:r>
      <w:r w:rsidRPr="00F9347C">
        <w:rPr>
          <w:rFonts w:eastAsiaTheme="minorEastAsia" w:cstheme="minorHAnsi"/>
        </w:rPr>
        <w:t>—</w:t>
      </w:r>
      <w:r w:rsidRPr="0028167B" w:rsidR="0028167B">
        <w:rPr>
          <w:rFonts w:eastAsiaTheme="minorEastAsia" w:cstheme="minorHAnsi"/>
        </w:rPr>
        <w:t xml:space="preserve"> </w:t>
      </w:r>
      <w:r w:rsidRPr="00F9347C" w:rsidR="0028167B">
        <w:rPr>
          <w:rFonts w:eastAsiaTheme="minorEastAsia" w:cstheme="minorHAnsi"/>
        </w:rPr>
        <w:t xml:space="preserve">Following the SOAR and Action Planning Workshops, each participating </w:t>
      </w:r>
      <w:r w:rsidR="0028167B">
        <w:rPr>
          <w:rFonts w:eastAsiaTheme="minorEastAsia" w:cstheme="minorHAnsi"/>
        </w:rPr>
        <w:t>LHD</w:t>
      </w:r>
      <w:r w:rsidRPr="00F9347C" w:rsidR="0028167B">
        <w:rPr>
          <w:rFonts w:eastAsiaTheme="minorEastAsia" w:cstheme="minorHAnsi"/>
        </w:rPr>
        <w:t xml:space="preserve"> will have an opportunity to begin capacity strengthening efforts and to implement the short-term action steps. </w:t>
      </w:r>
      <w:r w:rsidR="0028167B">
        <w:rPr>
          <w:rFonts w:eastAsiaTheme="minorEastAsia" w:cstheme="minorHAnsi"/>
        </w:rPr>
        <w:t>Then, t</w:t>
      </w:r>
      <w:r w:rsidRPr="00F9347C" w:rsidR="0028167B">
        <w:rPr>
          <w:rFonts w:eastAsiaTheme="minorEastAsia" w:cstheme="minorHAnsi"/>
        </w:rPr>
        <w:t xml:space="preserve">o </w:t>
      </w:r>
      <w:r w:rsidRPr="00F9347C">
        <w:rPr>
          <w:rFonts w:eastAsiaTheme="minorEastAsia" w:cstheme="minorHAnsi"/>
        </w:rPr>
        <w:t xml:space="preserve">conclude this work, a follow-up consultation call will be held with each LHD to check-in on </w:t>
      </w:r>
      <w:r w:rsidR="00532655">
        <w:rPr>
          <w:rFonts w:eastAsiaTheme="minorEastAsia" w:cstheme="minorHAnsi"/>
        </w:rPr>
        <w:t>initial implementation</w:t>
      </w:r>
      <w:r w:rsidRPr="00F9347C">
        <w:rPr>
          <w:rFonts w:eastAsiaTheme="minorEastAsia" w:cstheme="minorHAnsi"/>
        </w:rPr>
        <w:t xml:space="preserve">. </w:t>
      </w:r>
    </w:p>
    <w:p w:rsidRPr="00F9347C" w:rsidR="594A119A" w:rsidP="00C80450" w:rsidRDefault="00BB2D38" w14:paraId="20E5BB5B" w14:textId="50745C8F">
      <w:pPr>
        <w:pStyle w:val="ListParagraph"/>
        <w:numPr>
          <w:ilvl w:val="0"/>
          <w:numId w:val="47"/>
        </w:numPr>
        <w:spacing w:line="240" w:lineRule="auto"/>
        <w:contextualSpacing w:val="0"/>
        <w:rPr>
          <w:rFonts w:eastAsiaTheme="minorEastAsia" w:cstheme="minorHAnsi"/>
          <w:b/>
          <w:bCs/>
        </w:rPr>
      </w:pPr>
      <w:r>
        <w:rPr>
          <w:rFonts w:eastAsiaTheme="minorEastAsia" w:cstheme="minorHAnsi"/>
          <w:b/>
          <w:bCs/>
        </w:rPr>
        <w:t>End-of-Project Survey</w:t>
      </w:r>
      <w:r w:rsidRPr="00C93E0E" w:rsidR="37922D1F">
        <w:rPr>
          <w:rFonts w:eastAsia="Calibri" w:cstheme="minorHAnsi"/>
          <w:color w:val="000000" w:themeColor="text1"/>
        </w:rPr>
        <w:t>—</w:t>
      </w:r>
      <w:r w:rsidRPr="00C93E0E" w:rsidR="558984E9">
        <w:rPr>
          <w:rFonts w:eastAsia="Calibri" w:cstheme="minorHAnsi"/>
          <w:color w:val="000000" w:themeColor="text1"/>
        </w:rPr>
        <w:t xml:space="preserve">After completion of all </w:t>
      </w:r>
      <w:r w:rsidRPr="00C93E0E" w:rsidR="2E6A564B">
        <w:rPr>
          <w:rFonts w:eastAsia="Calibri" w:cstheme="minorHAnsi"/>
          <w:color w:val="000000" w:themeColor="text1"/>
        </w:rPr>
        <w:t xml:space="preserve">individualized TA activities, </w:t>
      </w:r>
      <w:r>
        <w:rPr>
          <w:rFonts w:eastAsia="Calibri" w:cstheme="minorHAnsi"/>
          <w:color w:val="000000" w:themeColor="text1"/>
        </w:rPr>
        <w:t>participants will complete a final survey</w:t>
      </w:r>
      <w:r w:rsidR="00EA196D">
        <w:rPr>
          <w:rFonts w:eastAsia="Calibri" w:cstheme="minorHAnsi"/>
          <w:color w:val="000000" w:themeColor="text1"/>
        </w:rPr>
        <w:t xml:space="preserve"> to provide feedback</w:t>
      </w:r>
      <w:r w:rsidR="0029379D">
        <w:rPr>
          <w:rFonts w:eastAsia="Calibri" w:cstheme="minorHAnsi"/>
          <w:color w:val="000000" w:themeColor="text1"/>
        </w:rPr>
        <w:t xml:space="preserve"> on satisfaction</w:t>
      </w:r>
      <w:r w:rsidR="00EA196D">
        <w:rPr>
          <w:rFonts w:eastAsia="Calibri" w:cstheme="minorHAnsi"/>
          <w:color w:val="000000" w:themeColor="text1"/>
        </w:rPr>
        <w:t xml:space="preserve"> with the TA delivered</w:t>
      </w:r>
      <w:r w:rsidR="0029379D">
        <w:rPr>
          <w:rFonts w:eastAsia="Calibri" w:cstheme="minorHAnsi"/>
          <w:color w:val="000000" w:themeColor="text1"/>
        </w:rPr>
        <w:t xml:space="preserve"> and changes in capacity.</w:t>
      </w:r>
      <w:r w:rsidRPr="00C93E0E" w:rsidR="0752AE22">
        <w:rPr>
          <w:rFonts w:eastAsia="Calibri" w:cstheme="minorHAnsi"/>
          <w:color w:val="000000" w:themeColor="text1"/>
        </w:rPr>
        <w:t xml:space="preserve"> </w:t>
      </w:r>
    </w:p>
    <w:bookmarkEnd w:id="0"/>
    <w:p w:rsidR="1EE1375A" w:rsidP="1EE1375A" w:rsidRDefault="1EE1375A" w14:paraId="503E8CAC" w14:textId="0FB7F79B">
      <w:pPr>
        <w:pStyle w:val="Default"/>
        <w:rPr>
          <w:rFonts w:eastAsia="Calibri"/>
          <w:color w:val="000000" w:themeColor="text1"/>
          <w:sz w:val="22"/>
          <w:szCs w:val="22"/>
        </w:rPr>
      </w:pPr>
    </w:p>
    <w:p w:rsidRPr="00C93E0E" w:rsidR="31A4E5AC" w:rsidP="1EE1375A" w:rsidRDefault="006D4818" w14:paraId="0F399B8F" w14:textId="00A343B1">
      <w:pPr>
        <w:pStyle w:val="Default"/>
        <w:rPr>
          <w:rFonts w:eastAsia="Calibri"/>
          <w:color w:val="000000" w:themeColor="text1"/>
          <w:sz w:val="22"/>
          <w:szCs w:val="22"/>
        </w:rPr>
      </w:pPr>
      <w:r>
        <w:rPr>
          <w:rFonts w:eastAsia="Calibri"/>
          <w:color w:val="000000" w:themeColor="text1"/>
          <w:sz w:val="22"/>
          <w:szCs w:val="22"/>
        </w:rPr>
        <w:t xml:space="preserve">The following table outlines the </w:t>
      </w:r>
      <w:r w:rsidR="000338AB">
        <w:rPr>
          <w:rFonts w:eastAsia="Calibri"/>
          <w:color w:val="000000" w:themeColor="text1"/>
          <w:sz w:val="22"/>
          <w:szCs w:val="22"/>
        </w:rPr>
        <w:t>tasks expected of the s</w:t>
      </w:r>
      <w:r w:rsidRPr="1EE1375A" w:rsidR="000338AB">
        <w:rPr>
          <w:rFonts w:eastAsia="Calibri"/>
          <w:color w:val="000000" w:themeColor="text1"/>
          <w:sz w:val="22"/>
          <w:szCs w:val="22"/>
        </w:rPr>
        <w:t xml:space="preserve">elected </w:t>
      </w:r>
      <w:r w:rsidRPr="1EE1375A" w:rsidR="6A216C81">
        <w:rPr>
          <w:rFonts w:eastAsia="Calibri"/>
          <w:color w:val="000000" w:themeColor="text1"/>
          <w:sz w:val="22"/>
          <w:szCs w:val="22"/>
        </w:rPr>
        <w:t>LHDs</w:t>
      </w:r>
      <w:r w:rsidR="000338AB">
        <w:rPr>
          <w:rFonts w:eastAsia="Calibri"/>
          <w:color w:val="000000" w:themeColor="text1"/>
          <w:sz w:val="22"/>
          <w:szCs w:val="22"/>
        </w:rPr>
        <w:t>:</w:t>
      </w:r>
      <w:r w:rsidRPr="1EE1375A" w:rsidR="31A4E5AC">
        <w:rPr>
          <w:rFonts w:eastAsia="Calibri"/>
          <w:color w:val="000000" w:themeColor="text1"/>
          <w:sz w:val="22"/>
          <w:szCs w:val="22"/>
        </w:rPr>
        <w:t xml:space="preserve"> </w:t>
      </w:r>
    </w:p>
    <w:p w:rsidR="1EE1375A" w:rsidP="1EE1375A" w:rsidRDefault="1EE1375A" w14:paraId="239619E0" w14:textId="5ECB8C6B">
      <w:pPr>
        <w:pStyle w:val="Default"/>
        <w:rPr>
          <w:rFonts w:eastAsia="Calibri"/>
          <w:i/>
          <w:iCs/>
          <w:color w:val="000000" w:themeColor="text1"/>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6"/>
        <w:gridCol w:w="2996"/>
        <w:gridCol w:w="1400"/>
        <w:gridCol w:w="1110"/>
        <w:gridCol w:w="1648"/>
      </w:tblGrid>
      <w:tr w:rsidRPr="00556CF4" w:rsidR="00C80450" w:rsidTr="00924CDE" w14:paraId="5A0834C4" w14:textId="77777777">
        <w:trPr>
          <w:trHeight w:val="179"/>
          <w:jc w:val="center"/>
        </w:trPr>
        <w:tc>
          <w:tcPr>
            <w:tcW w:w="0" w:type="auto"/>
            <w:tcBorders>
              <w:bottom w:val="single" w:color="auto" w:sz="4" w:space="0"/>
            </w:tcBorders>
            <w:shd w:val="clear" w:color="auto" w:fill="215868" w:themeFill="accent5" w:themeFillShade="80"/>
          </w:tcPr>
          <w:p w:rsidRPr="00556CF4" w:rsidR="00CD015C" w:rsidP="009952FF" w:rsidRDefault="00CD015C" w14:paraId="1D553E44" w14:textId="77777777">
            <w:pPr>
              <w:widowControl w:val="0"/>
              <w:spacing w:after="0" w:line="240" w:lineRule="auto"/>
              <w:jc w:val="center"/>
              <w:rPr>
                <w:rFonts w:eastAsiaTheme="minorEastAsia"/>
                <w:b/>
                <w:bCs/>
                <w:color w:val="FFFFFF" w:themeColor="background1"/>
              </w:rPr>
            </w:pPr>
            <w:r w:rsidRPr="1EE1375A">
              <w:rPr>
                <w:rFonts w:eastAsiaTheme="minorEastAsia"/>
                <w:b/>
                <w:bCs/>
                <w:color w:val="FFFFFF" w:themeColor="background1"/>
              </w:rPr>
              <w:t>Primary Task/Deliverable</w:t>
            </w:r>
          </w:p>
        </w:tc>
        <w:tc>
          <w:tcPr>
            <w:tcW w:w="0" w:type="auto"/>
            <w:shd w:val="clear" w:color="auto" w:fill="215868" w:themeFill="accent5" w:themeFillShade="80"/>
          </w:tcPr>
          <w:p w:rsidRPr="00556CF4" w:rsidR="00CD015C" w:rsidP="009952FF" w:rsidRDefault="00CD015C" w14:paraId="6A426694" w14:textId="77777777">
            <w:pPr>
              <w:widowControl w:val="0"/>
              <w:spacing w:after="0" w:line="240" w:lineRule="auto"/>
              <w:jc w:val="center"/>
              <w:rPr>
                <w:rFonts w:eastAsiaTheme="minorEastAsia"/>
                <w:b/>
                <w:bCs/>
                <w:color w:val="FFFFFF" w:themeColor="background1"/>
              </w:rPr>
            </w:pPr>
            <w:r w:rsidRPr="1EE1375A">
              <w:rPr>
                <w:rFonts w:eastAsiaTheme="minorEastAsia"/>
                <w:b/>
                <w:bCs/>
                <w:color w:val="FFFFFF" w:themeColor="background1"/>
              </w:rPr>
              <w:t xml:space="preserve">Subtasks </w:t>
            </w:r>
          </w:p>
        </w:tc>
        <w:tc>
          <w:tcPr>
            <w:tcW w:w="0" w:type="auto"/>
            <w:shd w:val="clear" w:color="auto" w:fill="215868" w:themeFill="accent5" w:themeFillShade="80"/>
          </w:tcPr>
          <w:p w:rsidRPr="1EE1375A" w:rsidR="00CD015C" w:rsidP="009952FF" w:rsidRDefault="00CD015C" w14:paraId="10663E98" w14:textId="77777777">
            <w:pPr>
              <w:widowControl w:val="0"/>
              <w:spacing w:after="0" w:line="240" w:lineRule="auto"/>
              <w:jc w:val="center"/>
              <w:rPr>
                <w:rFonts w:eastAsiaTheme="minorEastAsia"/>
                <w:b/>
                <w:bCs/>
                <w:color w:val="FFFFFF" w:themeColor="background1"/>
              </w:rPr>
            </w:pPr>
            <w:r>
              <w:rPr>
                <w:rFonts w:eastAsiaTheme="minorEastAsia"/>
                <w:b/>
                <w:bCs/>
                <w:color w:val="FFFFFF" w:themeColor="background1"/>
              </w:rPr>
              <w:t>Estimated Timeline</w:t>
            </w:r>
          </w:p>
        </w:tc>
        <w:tc>
          <w:tcPr>
            <w:tcW w:w="0" w:type="auto"/>
            <w:gridSpan w:val="2"/>
            <w:shd w:val="clear" w:color="auto" w:fill="215868" w:themeFill="accent5" w:themeFillShade="80"/>
          </w:tcPr>
          <w:p w:rsidR="00CD015C" w:rsidP="009952FF" w:rsidRDefault="00CD015C" w14:paraId="3D7C063D" w14:textId="77777777">
            <w:pPr>
              <w:widowControl w:val="0"/>
              <w:spacing w:after="0" w:line="240" w:lineRule="auto"/>
              <w:jc w:val="center"/>
              <w:rPr>
                <w:rFonts w:eastAsiaTheme="minorEastAsia"/>
                <w:b/>
                <w:bCs/>
                <w:color w:val="FFFFFF" w:themeColor="background1"/>
              </w:rPr>
            </w:pPr>
            <w:r w:rsidRPr="1EE1375A">
              <w:rPr>
                <w:rFonts w:eastAsiaTheme="minorEastAsia"/>
                <w:b/>
                <w:bCs/>
                <w:color w:val="FFFFFF" w:themeColor="background1"/>
              </w:rPr>
              <w:t>Payment Schedule</w:t>
            </w:r>
          </w:p>
        </w:tc>
      </w:tr>
      <w:tr w:rsidRPr="00556CF4" w:rsidR="00C80450" w:rsidTr="00924CDE" w14:paraId="4F09E0A9" w14:textId="77777777">
        <w:trPr>
          <w:jc w:val="center"/>
        </w:trPr>
        <w:tc>
          <w:tcPr>
            <w:tcW w:w="0" w:type="auto"/>
            <w:shd w:val="clear" w:color="auto" w:fill="FFFFFF" w:themeFill="background1"/>
          </w:tcPr>
          <w:p w:rsidR="00CD015C" w:rsidP="00924CDE" w:rsidRDefault="00CD015C" w14:paraId="07DD1E8B" w14:textId="77777777">
            <w:pPr>
              <w:pStyle w:val="ListParagraph"/>
              <w:numPr>
                <w:ilvl w:val="0"/>
                <w:numId w:val="2"/>
              </w:numPr>
              <w:ind w:left="330"/>
              <w:rPr>
                <w:rFonts w:eastAsiaTheme="minorEastAsia"/>
              </w:rPr>
            </w:pPr>
            <w:r>
              <w:rPr>
                <w:rFonts w:eastAsiaTheme="minorEastAsia"/>
              </w:rPr>
              <w:t xml:space="preserve">Initial </w:t>
            </w:r>
            <w:r w:rsidRPr="1EE1375A">
              <w:rPr>
                <w:rFonts w:eastAsiaTheme="minorEastAsia"/>
              </w:rPr>
              <w:t>Consultation Call</w:t>
            </w:r>
          </w:p>
        </w:tc>
        <w:tc>
          <w:tcPr>
            <w:tcW w:w="0" w:type="auto"/>
          </w:tcPr>
          <w:p w:rsidRPr="00556CF4" w:rsidR="00CD015C" w:rsidP="009952FF" w:rsidRDefault="00CD015C" w14:paraId="48E97E15" w14:textId="5050C55E">
            <w:pPr>
              <w:widowControl w:val="0"/>
              <w:spacing w:before="20" w:after="20" w:line="240" w:lineRule="auto"/>
              <w:rPr>
                <w:rFonts w:eastAsiaTheme="minorEastAsia"/>
              </w:rPr>
            </w:pPr>
            <w:r w:rsidRPr="1EE1375A">
              <w:rPr>
                <w:rFonts w:eastAsiaTheme="minorEastAsia"/>
              </w:rPr>
              <w:t xml:space="preserve">Attendance at </w:t>
            </w:r>
            <w:r w:rsidR="00924CDE">
              <w:rPr>
                <w:rFonts w:eastAsiaTheme="minorEastAsia"/>
              </w:rPr>
              <w:t>i</w:t>
            </w:r>
            <w:r w:rsidRPr="1EE1375A">
              <w:rPr>
                <w:rFonts w:eastAsiaTheme="minorEastAsia"/>
              </w:rPr>
              <w:t xml:space="preserve">nitial </w:t>
            </w:r>
            <w:r w:rsidR="00924CDE">
              <w:rPr>
                <w:rFonts w:eastAsiaTheme="minorEastAsia"/>
              </w:rPr>
              <w:t>c</w:t>
            </w:r>
            <w:r w:rsidRPr="1EE1375A">
              <w:rPr>
                <w:rFonts w:eastAsiaTheme="minorEastAsia"/>
              </w:rPr>
              <w:t xml:space="preserve">onsultation </w:t>
            </w:r>
            <w:r w:rsidR="00924CDE">
              <w:rPr>
                <w:rFonts w:eastAsiaTheme="minorEastAsia"/>
              </w:rPr>
              <w:t>c</w:t>
            </w:r>
            <w:r w:rsidRPr="1EE1375A">
              <w:rPr>
                <w:rFonts w:eastAsiaTheme="minorEastAsia"/>
              </w:rPr>
              <w:t xml:space="preserve">all </w:t>
            </w:r>
          </w:p>
        </w:tc>
        <w:tc>
          <w:tcPr>
            <w:tcW w:w="0" w:type="auto"/>
          </w:tcPr>
          <w:p w:rsidRPr="1EE1375A" w:rsidR="00CD015C" w:rsidP="009952FF" w:rsidRDefault="00924CDE" w14:paraId="4096BF53" w14:textId="2977488D">
            <w:pPr>
              <w:widowControl w:val="0"/>
              <w:spacing w:before="20" w:after="20" w:line="240" w:lineRule="auto"/>
              <w:rPr>
                <w:rFonts w:eastAsiaTheme="minorEastAsia"/>
              </w:rPr>
            </w:pPr>
            <w:r>
              <w:rPr>
                <w:rFonts w:eastAsiaTheme="minorEastAsia"/>
              </w:rPr>
              <w:t>March</w:t>
            </w:r>
            <w:r w:rsidR="00CD015C">
              <w:rPr>
                <w:rFonts w:eastAsiaTheme="minorEastAsia"/>
              </w:rPr>
              <w:t xml:space="preserve"> 2022</w:t>
            </w:r>
          </w:p>
        </w:tc>
        <w:tc>
          <w:tcPr>
            <w:tcW w:w="0" w:type="auto"/>
          </w:tcPr>
          <w:p w:rsidRPr="00556CF4" w:rsidR="00CD015C" w:rsidP="009952FF" w:rsidRDefault="00CD015C" w14:paraId="7236A8DE" w14:textId="77777777">
            <w:pPr>
              <w:widowControl w:val="0"/>
              <w:spacing w:before="20" w:after="20" w:line="240" w:lineRule="auto"/>
              <w:rPr>
                <w:rFonts w:eastAsiaTheme="minorEastAsia"/>
              </w:rPr>
            </w:pPr>
            <w:r w:rsidRPr="1EE1375A">
              <w:rPr>
                <w:rFonts w:eastAsiaTheme="minorEastAsia"/>
              </w:rPr>
              <w:t>10% of funding</w:t>
            </w:r>
          </w:p>
        </w:tc>
        <w:tc>
          <w:tcPr>
            <w:tcW w:w="0" w:type="auto"/>
            <w:vMerge w:val="restart"/>
          </w:tcPr>
          <w:p w:rsidR="00CD015C" w:rsidP="009952FF" w:rsidRDefault="00CD015C" w14:paraId="35F9450F" w14:textId="77777777">
            <w:pPr>
              <w:spacing w:line="240" w:lineRule="auto"/>
              <w:jc w:val="center"/>
              <w:rPr>
                <w:rFonts w:eastAsiaTheme="minorEastAsia"/>
              </w:rPr>
            </w:pPr>
            <w:r w:rsidRPr="1EE1375A">
              <w:rPr>
                <w:rFonts w:eastAsiaTheme="minorEastAsia"/>
                <w:b/>
                <w:bCs/>
              </w:rPr>
              <w:t>Invoice #1</w:t>
            </w:r>
            <w:r w:rsidRPr="1EE1375A">
              <w:rPr>
                <w:rFonts w:eastAsiaTheme="minorEastAsia"/>
              </w:rPr>
              <w:t xml:space="preserve"> </w:t>
            </w:r>
          </w:p>
          <w:p w:rsidR="00CD015C" w:rsidP="00924CDE" w:rsidRDefault="00CD015C" w14:paraId="105CB148" w14:textId="67C83362">
            <w:pPr>
              <w:spacing w:line="240" w:lineRule="auto"/>
              <w:jc w:val="center"/>
              <w:rPr>
                <w:rFonts w:eastAsiaTheme="minorEastAsia"/>
              </w:rPr>
            </w:pPr>
            <w:r w:rsidRPr="1EE1375A">
              <w:rPr>
                <w:rFonts w:eastAsiaTheme="minorEastAsia"/>
              </w:rPr>
              <w:t>due by or before</w:t>
            </w:r>
            <w:r w:rsidR="00924CDE">
              <w:rPr>
                <w:rFonts w:eastAsiaTheme="minorEastAsia"/>
              </w:rPr>
              <w:t xml:space="preserve"> </w:t>
            </w:r>
            <w:r>
              <w:rPr>
                <w:rFonts w:eastAsiaTheme="minorEastAsia"/>
              </w:rPr>
              <w:t>March 31</w:t>
            </w:r>
            <w:r w:rsidRPr="004F2CE2">
              <w:rPr>
                <w:rFonts w:eastAsiaTheme="minorEastAsia"/>
                <w:vertAlign w:val="superscript"/>
              </w:rPr>
              <w:t>st</w:t>
            </w:r>
            <w:r w:rsidR="00924CDE">
              <w:rPr>
                <w:rFonts w:eastAsiaTheme="minorEastAsia"/>
              </w:rPr>
              <w:t>,</w:t>
            </w:r>
            <w:r w:rsidRPr="1EE1375A">
              <w:rPr>
                <w:rFonts w:eastAsiaTheme="minorEastAsia"/>
                <w:vertAlign w:val="superscript"/>
              </w:rPr>
              <w:t xml:space="preserve"> </w:t>
            </w:r>
            <w:r w:rsidRPr="1EE1375A">
              <w:rPr>
                <w:rFonts w:eastAsiaTheme="minorEastAsia"/>
              </w:rPr>
              <w:t>2022</w:t>
            </w:r>
          </w:p>
        </w:tc>
      </w:tr>
      <w:tr w:rsidRPr="00556CF4" w:rsidR="00C80450" w:rsidTr="00924CDE" w14:paraId="408CCBFA" w14:textId="77777777">
        <w:trPr>
          <w:jc w:val="center"/>
        </w:trPr>
        <w:tc>
          <w:tcPr>
            <w:tcW w:w="0" w:type="auto"/>
            <w:vMerge w:val="restart"/>
            <w:shd w:val="clear" w:color="auto" w:fill="FFFFFF" w:themeFill="background1"/>
          </w:tcPr>
          <w:p w:rsidRPr="00556CF4" w:rsidR="00CD015C" w:rsidP="00924CDE" w:rsidRDefault="00CD015C" w14:paraId="48FC9480" w14:textId="77777777">
            <w:pPr>
              <w:pStyle w:val="ListParagraph"/>
              <w:widowControl w:val="0"/>
              <w:numPr>
                <w:ilvl w:val="0"/>
                <w:numId w:val="2"/>
              </w:numPr>
              <w:spacing w:after="0" w:line="240" w:lineRule="auto"/>
              <w:ind w:left="330"/>
              <w:rPr>
                <w:rFonts w:eastAsiaTheme="minorEastAsia"/>
              </w:rPr>
            </w:pPr>
            <w:r w:rsidRPr="1EE1375A">
              <w:rPr>
                <w:rFonts w:eastAsiaTheme="minorEastAsia"/>
              </w:rPr>
              <w:t>SOAR Analysis Workshop</w:t>
            </w:r>
          </w:p>
        </w:tc>
        <w:tc>
          <w:tcPr>
            <w:tcW w:w="0" w:type="auto"/>
          </w:tcPr>
          <w:p w:rsidRPr="00556CF4" w:rsidR="00CD015C" w:rsidP="009952FF" w:rsidRDefault="00CD015C" w14:paraId="1CD9DBED" w14:textId="32487584">
            <w:pPr>
              <w:widowControl w:val="0"/>
              <w:spacing w:before="20" w:after="20" w:line="240" w:lineRule="auto"/>
              <w:rPr>
                <w:rFonts w:eastAsiaTheme="minorEastAsia"/>
              </w:rPr>
            </w:pPr>
            <w:r w:rsidRPr="1EE1375A">
              <w:rPr>
                <w:rFonts w:eastAsiaTheme="minorEastAsia"/>
              </w:rPr>
              <w:t xml:space="preserve">Attendance at SOAR Analysis </w:t>
            </w:r>
            <w:r w:rsidR="00924CDE">
              <w:rPr>
                <w:rFonts w:eastAsiaTheme="minorEastAsia"/>
              </w:rPr>
              <w:t>w</w:t>
            </w:r>
            <w:r w:rsidRPr="1EE1375A">
              <w:rPr>
                <w:rFonts w:eastAsiaTheme="minorEastAsia"/>
              </w:rPr>
              <w:t>orkshop</w:t>
            </w:r>
          </w:p>
        </w:tc>
        <w:tc>
          <w:tcPr>
            <w:tcW w:w="0" w:type="auto"/>
            <w:vMerge w:val="restart"/>
          </w:tcPr>
          <w:p w:rsidRPr="00556CF4" w:rsidR="00CD015C" w:rsidP="009952FF" w:rsidRDefault="00C80450" w14:paraId="6CD6DC60" w14:textId="1268828B">
            <w:pPr>
              <w:widowControl w:val="0"/>
              <w:spacing w:before="20" w:after="20" w:line="240" w:lineRule="auto"/>
              <w:rPr>
                <w:rFonts w:eastAsiaTheme="minorEastAsia"/>
              </w:rPr>
            </w:pPr>
            <w:r>
              <w:rPr>
                <w:rFonts w:eastAsiaTheme="minorEastAsia"/>
              </w:rPr>
              <w:t xml:space="preserve">April </w:t>
            </w:r>
            <w:r w:rsidR="00CD015C">
              <w:rPr>
                <w:rFonts w:eastAsiaTheme="minorEastAsia"/>
              </w:rPr>
              <w:t>2022</w:t>
            </w:r>
          </w:p>
        </w:tc>
        <w:tc>
          <w:tcPr>
            <w:tcW w:w="0" w:type="auto"/>
            <w:vMerge w:val="restart"/>
          </w:tcPr>
          <w:p w:rsidRPr="00556CF4" w:rsidR="00CD015C" w:rsidP="009952FF" w:rsidRDefault="00CD015C" w14:paraId="3BC85B8D" w14:textId="77777777">
            <w:pPr>
              <w:widowControl w:val="0"/>
              <w:spacing w:before="20" w:after="20" w:line="240" w:lineRule="auto"/>
              <w:rPr>
                <w:rFonts w:eastAsiaTheme="minorEastAsia"/>
              </w:rPr>
            </w:pPr>
            <w:r w:rsidRPr="1EE1375A">
              <w:rPr>
                <w:rFonts w:eastAsiaTheme="minorEastAsia"/>
              </w:rPr>
              <w:t xml:space="preserve">30% of funding </w:t>
            </w:r>
          </w:p>
        </w:tc>
        <w:tc>
          <w:tcPr>
            <w:tcW w:w="0" w:type="auto"/>
            <w:vMerge/>
          </w:tcPr>
          <w:p w:rsidR="00CD015C" w:rsidP="009952FF" w:rsidRDefault="00CD015C" w14:paraId="106CFF5A" w14:textId="77777777"/>
        </w:tc>
      </w:tr>
      <w:tr w:rsidRPr="00556CF4" w:rsidR="00C80450" w:rsidTr="00924CDE" w14:paraId="0687A8EC" w14:textId="77777777">
        <w:trPr>
          <w:jc w:val="center"/>
        </w:trPr>
        <w:tc>
          <w:tcPr>
            <w:tcW w:w="0" w:type="auto"/>
            <w:vMerge/>
          </w:tcPr>
          <w:p w:rsidRPr="00556CF4" w:rsidR="00CD015C" w:rsidP="009952FF" w:rsidRDefault="00CD015C" w14:paraId="747A1D12" w14:textId="77777777">
            <w:pPr>
              <w:widowControl w:val="0"/>
              <w:spacing w:after="0" w:line="240" w:lineRule="auto"/>
              <w:rPr>
                <w:rFonts w:ascii="Dutch 801 Roman" w:hAnsi="Dutch 801 Roman" w:eastAsia="Times New Roman" w:cs="Times New Roman"/>
                <w:sz w:val="20"/>
                <w:szCs w:val="20"/>
              </w:rPr>
            </w:pPr>
          </w:p>
        </w:tc>
        <w:tc>
          <w:tcPr>
            <w:tcW w:w="0" w:type="auto"/>
          </w:tcPr>
          <w:p w:rsidRPr="00556CF4" w:rsidR="00CD015C" w:rsidP="009952FF" w:rsidRDefault="00CD015C" w14:paraId="0BBA20EC" w14:textId="77777777">
            <w:pPr>
              <w:widowControl w:val="0"/>
              <w:spacing w:before="20" w:after="20" w:line="240" w:lineRule="auto"/>
              <w:rPr>
                <w:rFonts w:eastAsiaTheme="minorEastAsia"/>
              </w:rPr>
            </w:pPr>
            <w:r w:rsidRPr="1EE1375A">
              <w:rPr>
                <w:rFonts w:eastAsiaTheme="minorEastAsia"/>
              </w:rPr>
              <w:t xml:space="preserve">Final SOAR Analysis worksheet </w:t>
            </w:r>
            <w:r>
              <w:rPr>
                <w:rFonts w:eastAsiaTheme="minorEastAsia"/>
              </w:rPr>
              <w:t>and submission of workshop evaluation</w:t>
            </w:r>
          </w:p>
        </w:tc>
        <w:tc>
          <w:tcPr>
            <w:tcW w:w="0" w:type="auto"/>
            <w:vMerge/>
          </w:tcPr>
          <w:p w:rsidRPr="00556CF4" w:rsidR="00CD015C" w:rsidP="009952FF" w:rsidRDefault="00CD015C" w14:paraId="7E8DA811" w14:textId="77777777">
            <w:pPr>
              <w:widowControl w:val="0"/>
              <w:spacing w:before="20" w:after="20" w:line="240" w:lineRule="auto"/>
              <w:rPr>
                <w:rFonts w:ascii="Dutch 801 Roman" w:hAnsi="Dutch 801 Roman" w:eastAsia="Times New Roman" w:cs="Times New Roman"/>
                <w:sz w:val="20"/>
                <w:szCs w:val="20"/>
              </w:rPr>
            </w:pPr>
          </w:p>
        </w:tc>
        <w:tc>
          <w:tcPr>
            <w:tcW w:w="0" w:type="auto"/>
            <w:vMerge/>
          </w:tcPr>
          <w:p w:rsidRPr="00556CF4" w:rsidR="00CD015C" w:rsidP="009952FF" w:rsidRDefault="00CD015C" w14:paraId="1B758612" w14:textId="77777777">
            <w:pPr>
              <w:widowControl w:val="0"/>
              <w:spacing w:before="20" w:after="20" w:line="240" w:lineRule="auto"/>
              <w:rPr>
                <w:rFonts w:ascii="Dutch 801 Roman" w:hAnsi="Dutch 801 Roman" w:eastAsia="Times New Roman" w:cs="Times New Roman"/>
                <w:sz w:val="20"/>
                <w:szCs w:val="20"/>
              </w:rPr>
            </w:pPr>
          </w:p>
        </w:tc>
        <w:tc>
          <w:tcPr>
            <w:tcW w:w="0" w:type="auto"/>
            <w:vMerge/>
          </w:tcPr>
          <w:p w:rsidR="00CD015C" w:rsidP="009952FF" w:rsidRDefault="00CD015C" w14:paraId="06A5179D" w14:textId="77777777"/>
        </w:tc>
      </w:tr>
      <w:tr w:rsidRPr="00556CF4" w:rsidR="00C80450" w:rsidTr="00924CDE" w14:paraId="6791B11B" w14:textId="77777777">
        <w:trPr>
          <w:jc w:val="center"/>
        </w:trPr>
        <w:tc>
          <w:tcPr>
            <w:tcW w:w="0" w:type="auto"/>
            <w:vMerge w:val="restart"/>
            <w:shd w:val="clear" w:color="auto" w:fill="FFFFFF" w:themeFill="background1"/>
          </w:tcPr>
          <w:p w:rsidRPr="00556CF4" w:rsidR="00CD015C" w:rsidP="00924CDE" w:rsidRDefault="00CD015C" w14:paraId="1D6812C5" w14:textId="77777777">
            <w:pPr>
              <w:pStyle w:val="ListParagraph"/>
              <w:widowControl w:val="0"/>
              <w:numPr>
                <w:ilvl w:val="0"/>
                <w:numId w:val="2"/>
              </w:numPr>
              <w:spacing w:after="0" w:line="240" w:lineRule="auto"/>
              <w:ind w:left="330"/>
              <w:rPr>
                <w:rFonts w:eastAsiaTheme="minorEastAsia"/>
              </w:rPr>
            </w:pPr>
            <w:r w:rsidRPr="1EE1375A">
              <w:rPr>
                <w:rFonts w:eastAsiaTheme="minorEastAsia"/>
              </w:rPr>
              <w:t>Action Planning Workshop</w:t>
            </w:r>
          </w:p>
        </w:tc>
        <w:tc>
          <w:tcPr>
            <w:tcW w:w="0" w:type="auto"/>
          </w:tcPr>
          <w:p w:rsidRPr="00556CF4" w:rsidR="00CD015C" w:rsidP="009952FF" w:rsidRDefault="00CD015C" w14:paraId="3CA4C969" w14:textId="3853C512">
            <w:pPr>
              <w:widowControl w:val="0"/>
              <w:spacing w:before="20" w:after="20" w:line="240" w:lineRule="auto"/>
              <w:rPr>
                <w:rFonts w:eastAsiaTheme="minorEastAsia"/>
              </w:rPr>
            </w:pPr>
            <w:r w:rsidRPr="1EE1375A">
              <w:rPr>
                <w:rFonts w:eastAsiaTheme="minorEastAsia"/>
              </w:rPr>
              <w:t xml:space="preserve">Attendance at Action Planning </w:t>
            </w:r>
            <w:r w:rsidR="00924CDE">
              <w:rPr>
                <w:rFonts w:eastAsiaTheme="minorEastAsia"/>
              </w:rPr>
              <w:t>w</w:t>
            </w:r>
            <w:r w:rsidRPr="1EE1375A">
              <w:rPr>
                <w:rFonts w:eastAsiaTheme="minorEastAsia"/>
              </w:rPr>
              <w:t>orkshop</w:t>
            </w:r>
          </w:p>
        </w:tc>
        <w:tc>
          <w:tcPr>
            <w:tcW w:w="0" w:type="auto"/>
            <w:vMerge w:val="restart"/>
          </w:tcPr>
          <w:p w:rsidRPr="1EE1375A" w:rsidR="00CD015C" w:rsidP="009952FF" w:rsidRDefault="00C80450" w14:paraId="18CFA3AE" w14:textId="4E64CC8A">
            <w:pPr>
              <w:widowControl w:val="0"/>
              <w:spacing w:before="20" w:after="20" w:line="240" w:lineRule="auto"/>
              <w:rPr>
                <w:rFonts w:eastAsiaTheme="minorEastAsia"/>
              </w:rPr>
            </w:pPr>
            <w:r>
              <w:rPr>
                <w:rFonts w:eastAsiaTheme="minorEastAsia"/>
              </w:rPr>
              <w:t xml:space="preserve">May </w:t>
            </w:r>
            <w:r w:rsidR="00CD015C">
              <w:rPr>
                <w:rFonts w:eastAsiaTheme="minorEastAsia"/>
              </w:rPr>
              <w:t>2022</w:t>
            </w:r>
          </w:p>
        </w:tc>
        <w:tc>
          <w:tcPr>
            <w:tcW w:w="0" w:type="auto"/>
            <w:vMerge w:val="restart"/>
          </w:tcPr>
          <w:p w:rsidRPr="00556CF4" w:rsidR="00CD015C" w:rsidP="009952FF" w:rsidRDefault="00CD015C" w14:paraId="70C6F837" w14:textId="77777777">
            <w:pPr>
              <w:widowControl w:val="0"/>
              <w:spacing w:before="20" w:after="20" w:line="240" w:lineRule="auto"/>
              <w:rPr>
                <w:rFonts w:eastAsiaTheme="minorEastAsia"/>
              </w:rPr>
            </w:pPr>
            <w:r>
              <w:rPr>
                <w:rFonts w:eastAsiaTheme="minorEastAsia"/>
              </w:rPr>
              <w:t>3</w:t>
            </w:r>
            <w:r w:rsidRPr="1EE1375A">
              <w:rPr>
                <w:rFonts w:eastAsiaTheme="minorEastAsia"/>
              </w:rPr>
              <w:t xml:space="preserve">0% of funding </w:t>
            </w:r>
          </w:p>
        </w:tc>
        <w:tc>
          <w:tcPr>
            <w:tcW w:w="0" w:type="auto"/>
            <w:vMerge w:val="restart"/>
          </w:tcPr>
          <w:p w:rsidR="00CD015C" w:rsidP="009952FF" w:rsidRDefault="00CD015C" w14:paraId="1C2D440D" w14:textId="77777777">
            <w:pPr>
              <w:spacing w:line="240" w:lineRule="auto"/>
              <w:jc w:val="center"/>
              <w:rPr>
                <w:rFonts w:eastAsiaTheme="minorEastAsia"/>
                <w:b/>
                <w:bCs/>
              </w:rPr>
            </w:pPr>
            <w:r w:rsidRPr="1EE1375A">
              <w:rPr>
                <w:rFonts w:eastAsiaTheme="minorEastAsia"/>
                <w:b/>
                <w:bCs/>
              </w:rPr>
              <w:t xml:space="preserve">Invoice #2 </w:t>
            </w:r>
          </w:p>
          <w:p w:rsidR="00CD015C" w:rsidP="009952FF" w:rsidRDefault="00CD015C" w14:paraId="0F987A1F" w14:textId="77777777">
            <w:pPr>
              <w:spacing w:line="240" w:lineRule="auto"/>
              <w:jc w:val="center"/>
              <w:rPr>
                <w:rFonts w:eastAsiaTheme="minorEastAsia"/>
              </w:rPr>
            </w:pPr>
            <w:r w:rsidRPr="1EE1375A">
              <w:rPr>
                <w:rFonts w:eastAsiaTheme="minorEastAsia"/>
              </w:rPr>
              <w:t>due by or before July 31</w:t>
            </w:r>
            <w:r w:rsidRPr="1EE1375A">
              <w:rPr>
                <w:rFonts w:eastAsiaTheme="minorEastAsia"/>
                <w:vertAlign w:val="superscript"/>
              </w:rPr>
              <w:t>st</w:t>
            </w:r>
            <w:r w:rsidRPr="1EE1375A">
              <w:rPr>
                <w:rFonts w:eastAsiaTheme="minorEastAsia"/>
              </w:rPr>
              <w:t>, 2022</w:t>
            </w:r>
          </w:p>
        </w:tc>
      </w:tr>
      <w:tr w:rsidRPr="00556CF4" w:rsidR="00C80450" w:rsidTr="00924CDE" w14:paraId="51DB11E8" w14:textId="77777777">
        <w:trPr>
          <w:jc w:val="center"/>
        </w:trPr>
        <w:tc>
          <w:tcPr>
            <w:tcW w:w="0" w:type="auto"/>
            <w:vMerge/>
          </w:tcPr>
          <w:p w:rsidRPr="00556CF4" w:rsidR="00CD015C" w:rsidP="009952FF" w:rsidRDefault="00CD015C" w14:paraId="5B443B57" w14:textId="77777777">
            <w:pPr>
              <w:widowControl w:val="0"/>
              <w:spacing w:after="0" w:line="240" w:lineRule="auto"/>
              <w:rPr>
                <w:rFonts w:ascii="Dutch 801 Roman" w:hAnsi="Dutch 801 Roman" w:eastAsia="Times New Roman" w:cs="Times New Roman"/>
                <w:sz w:val="20"/>
                <w:szCs w:val="20"/>
              </w:rPr>
            </w:pPr>
          </w:p>
        </w:tc>
        <w:tc>
          <w:tcPr>
            <w:tcW w:w="0" w:type="auto"/>
          </w:tcPr>
          <w:p w:rsidRPr="00556CF4" w:rsidR="00CD015C" w:rsidP="009952FF" w:rsidRDefault="00CD015C" w14:paraId="63A54CF9" w14:textId="77777777">
            <w:pPr>
              <w:widowControl w:val="0"/>
              <w:spacing w:before="20" w:after="20" w:line="240" w:lineRule="auto"/>
              <w:rPr>
                <w:rFonts w:eastAsiaTheme="minorEastAsia"/>
              </w:rPr>
            </w:pPr>
            <w:r w:rsidRPr="1EE1375A">
              <w:rPr>
                <w:rFonts w:eastAsiaTheme="minorEastAsia"/>
              </w:rPr>
              <w:t>Final Action Plan worksheet</w:t>
            </w:r>
            <w:r>
              <w:rPr>
                <w:rFonts w:eastAsiaTheme="minorEastAsia"/>
              </w:rPr>
              <w:t xml:space="preserve"> and submission of workshop evaluation</w:t>
            </w:r>
          </w:p>
        </w:tc>
        <w:tc>
          <w:tcPr>
            <w:tcW w:w="0" w:type="auto"/>
            <w:vMerge/>
          </w:tcPr>
          <w:p w:rsidRPr="00556CF4" w:rsidR="00CD015C" w:rsidP="009952FF" w:rsidRDefault="00CD015C" w14:paraId="5786DA87" w14:textId="77777777">
            <w:pPr>
              <w:widowControl w:val="0"/>
              <w:spacing w:before="20" w:after="20" w:line="240" w:lineRule="auto"/>
              <w:rPr>
                <w:rFonts w:ascii="Dutch 801 Roman" w:hAnsi="Dutch 801 Roman" w:eastAsia="Times New Roman" w:cs="Times New Roman"/>
                <w:sz w:val="20"/>
                <w:szCs w:val="20"/>
              </w:rPr>
            </w:pPr>
          </w:p>
        </w:tc>
        <w:tc>
          <w:tcPr>
            <w:tcW w:w="0" w:type="auto"/>
            <w:vMerge/>
          </w:tcPr>
          <w:p w:rsidRPr="00556CF4" w:rsidR="00CD015C" w:rsidP="009952FF" w:rsidRDefault="00CD015C" w14:paraId="6B7A405C" w14:textId="77777777">
            <w:pPr>
              <w:widowControl w:val="0"/>
              <w:spacing w:before="20" w:after="20" w:line="240" w:lineRule="auto"/>
              <w:rPr>
                <w:rFonts w:ascii="Dutch 801 Roman" w:hAnsi="Dutch 801 Roman" w:eastAsia="Times New Roman" w:cs="Times New Roman"/>
                <w:sz w:val="20"/>
                <w:szCs w:val="20"/>
              </w:rPr>
            </w:pPr>
          </w:p>
        </w:tc>
        <w:tc>
          <w:tcPr>
            <w:tcW w:w="0" w:type="auto"/>
            <w:vMerge/>
          </w:tcPr>
          <w:p w:rsidR="00CD015C" w:rsidP="009952FF" w:rsidRDefault="00CD015C" w14:paraId="4C040906" w14:textId="77777777"/>
        </w:tc>
      </w:tr>
      <w:tr w:rsidRPr="00556CF4" w:rsidR="00C80450" w:rsidTr="00924CDE" w14:paraId="67D4B04C" w14:textId="77777777">
        <w:trPr>
          <w:jc w:val="center"/>
        </w:trPr>
        <w:tc>
          <w:tcPr>
            <w:tcW w:w="0" w:type="auto"/>
            <w:shd w:val="clear" w:color="auto" w:fill="FFFFFF" w:themeFill="background1"/>
          </w:tcPr>
          <w:p w:rsidRPr="1EE1375A" w:rsidR="00CD015C" w:rsidP="00924CDE" w:rsidRDefault="00CD015C" w14:paraId="5C4ACC3E" w14:textId="77777777">
            <w:pPr>
              <w:pStyle w:val="ListParagraph"/>
              <w:widowControl w:val="0"/>
              <w:numPr>
                <w:ilvl w:val="0"/>
                <w:numId w:val="2"/>
              </w:numPr>
              <w:spacing w:after="0" w:line="240" w:lineRule="auto"/>
              <w:ind w:left="330"/>
              <w:rPr>
                <w:rFonts w:eastAsiaTheme="minorEastAsia"/>
              </w:rPr>
            </w:pPr>
            <w:r>
              <w:rPr>
                <w:rFonts w:eastAsiaTheme="minorEastAsia"/>
              </w:rPr>
              <w:t>Focus Group</w:t>
            </w:r>
          </w:p>
        </w:tc>
        <w:tc>
          <w:tcPr>
            <w:tcW w:w="0" w:type="auto"/>
          </w:tcPr>
          <w:p w:rsidRPr="1EE1375A" w:rsidR="00CD015C" w:rsidP="009952FF" w:rsidRDefault="00CD015C" w14:paraId="3C8A53FF" w14:textId="3AC453C8">
            <w:pPr>
              <w:widowControl w:val="0"/>
              <w:spacing w:before="20" w:after="20" w:line="240" w:lineRule="auto"/>
              <w:rPr>
                <w:rFonts w:eastAsiaTheme="minorEastAsia"/>
              </w:rPr>
            </w:pPr>
            <w:r>
              <w:rPr>
                <w:rFonts w:eastAsiaTheme="minorEastAsia"/>
              </w:rPr>
              <w:t xml:space="preserve">Attendance and participation in </w:t>
            </w:r>
            <w:r w:rsidR="00924CDE">
              <w:rPr>
                <w:rFonts w:eastAsiaTheme="minorEastAsia"/>
              </w:rPr>
              <w:t>f</w:t>
            </w:r>
            <w:r>
              <w:rPr>
                <w:rFonts w:eastAsiaTheme="minorEastAsia"/>
              </w:rPr>
              <w:t xml:space="preserve">ocus </w:t>
            </w:r>
            <w:r w:rsidR="00924CDE">
              <w:rPr>
                <w:rFonts w:eastAsiaTheme="minorEastAsia"/>
              </w:rPr>
              <w:t>g</w:t>
            </w:r>
            <w:r>
              <w:rPr>
                <w:rFonts w:eastAsiaTheme="minorEastAsia"/>
              </w:rPr>
              <w:t xml:space="preserve">roup </w:t>
            </w:r>
          </w:p>
        </w:tc>
        <w:tc>
          <w:tcPr>
            <w:tcW w:w="0" w:type="auto"/>
          </w:tcPr>
          <w:p w:rsidR="00CD015C" w:rsidP="009952FF" w:rsidRDefault="00C80450" w14:paraId="21C51F93" w14:textId="0C079866">
            <w:pPr>
              <w:widowControl w:val="0"/>
              <w:spacing w:before="20" w:after="20" w:line="240" w:lineRule="auto"/>
              <w:rPr>
                <w:rFonts w:eastAsiaTheme="minorEastAsia"/>
              </w:rPr>
            </w:pPr>
            <w:r>
              <w:rPr>
                <w:rFonts w:eastAsiaTheme="minorEastAsia"/>
              </w:rPr>
              <w:t>July</w:t>
            </w:r>
            <w:r w:rsidR="00CD015C">
              <w:rPr>
                <w:rFonts w:eastAsiaTheme="minorEastAsia"/>
              </w:rPr>
              <w:t xml:space="preserve"> 2022</w:t>
            </w:r>
          </w:p>
        </w:tc>
        <w:tc>
          <w:tcPr>
            <w:tcW w:w="0" w:type="auto"/>
          </w:tcPr>
          <w:p w:rsidRPr="1EE1375A" w:rsidR="00CD015C" w:rsidP="009952FF" w:rsidRDefault="00CD015C" w14:paraId="22591E40" w14:textId="645B834B">
            <w:pPr>
              <w:widowControl w:val="0"/>
              <w:spacing w:before="20" w:after="20" w:line="240" w:lineRule="auto"/>
              <w:rPr>
                <w:rFonts w:eastAsiaTheme="minorEastAsia"/>
              </w:rPr>
            </w:pPr>
            <w:r>
              <w:rPr>
                <w:rFonts w:eastAsiaTheme="minorEastAsia"/>
              </w:rPr>
              <w:t>10%</w:t>
            </w:r>
            <w:r w:rsidR="00924CDE">
              <w:rPr>
                <w:rFonts w:eastAsiaTheme="minorEastAsia"/>
              </w:rPr>
              <w:t xml:space="preserve"> of funding</w:t>
            </w:r>
          </w:p>
        </w:tc>
        <w:tc>
          <w:tcPr>
            <w:tcW w:w="0" w:type="auto"/>
            <w:vMerge/>
          </w:tcPr>
          <w:p w:rsidR="00CD015C" w:rsidP="009952FF" w:rsidRDefault="00CD015C" w14:paraId="4FEA3A8A" w14:textId="77777777"/>
        </w:tc>
      </w:tr>
      <w:tr w:rsidRPr="00556CF4" w:rsidR="00C80450" w:rsidTr="00924CDE" w14:paraId="3E3C9153" w14:textId="77777777">
        <w:trPr>
          <w:jc w:val="center"/>
        </w:trPr>
        <w:tc>
          <w:tcPr>
            <w:tcW w:w="0" w:type="auto"/>
            <w:shd w:val="clear" w:color="auto" w:fill="FFFFFF" w:themeFill="background1"/>
          </w:tcPr>
          <w:p w:rsidRPr="00556CF4" w:rsidR="00CD015C" w:rsidP="009952FF" w:rsidRDefault="00CD015C" w14:paraId="657C5096" w14:textId="6FB61D29">
            <w:pPr>
              <w:pStyle w:val="ListParagraph"/>
              <w:widowControl w:val="0"/>
              <w:numPr>
                <w:ilvl w:val="0"/>
                <w:numId w:val="2"/>
              </w:numPr>
              <w:spacing w:after="0" w:line="240" w:lineRule="auto"/>
              <w:ind w:left="330"/>
              <w:rPr>
                <w:rFonts w:eastAsiaTheme="minorEastAsia"/>
                <w:color w:val="000000" w:themeColor="text1"/>
              </w:rPr>
            </w:pPr>
            <w:r w:rsidRPr="1EE1375A">
              <w:rPr>
                <w:rFonts w:eastAsiaTheme="minorEastAsia"/>
              </w:rPr>
              <w:t>Follow</w:t>
            </w:r>
            <w:r w:rsidR="00924CDE">
              <w:rPr>
                <w:rFonts w:eastAsiaTheme="minorEastAsia"/>
              </w:rPr>
              <w:t>-</w:t>
            </w:r>
            <w:r>
              <w:rPr>
                <w:rFonts w:eastAsiaTheme="minorEastAsia"/>
              </w:rPr>
              <w:t>U</w:t>
            </w:r>
            <w:r w:rsidRPr="1EE1375A">
              <w:rPr>
                <w:rFonts w:eastAsiaTheme="minorEastAsia"/>
              </w:rPr>
              <w:t>p Consultation Call</w:t>
            </w:r>
          </w:p>
        </w:tc>
        <w:tc>
          <w:tcPr>
            <w:tcW w:w="0" w:type="auto"/>
          </w:tcPr>
          <w:p w:rsidRPr="00556CF4" w:rsidR="00CD015C" w:rsidP="009952FF" w:rsidRDefault="00CD015C" w14:paraId="6D2C89CB" w14:textId="5A12256B">
            <w:pPr>
              <w:widowControl w:val="0"/>
              <w:spacing w:before="20" w:after="20" w:line="240" w:lineRule="auto"/>
              <w:rPr>
                <w:rFonts w:eastAsiaTheme="minorEastAsia"/>
              </w:rPr>
            </w:pPr>
            <w:r w:rsidRPr="1EE1375A">
              <w:rPr>
                <w:rFonts w:eastAsiaTheme="minorEastAsia"/>
              </w:rPr>
              <w:t xml:space="preserve">Attendance at </w:t>
            </w:r>
            <w:r w:rsidR="00924CDE">
              <w:rPr>
                <w:rFonts w:eastAsiaTheme="minorEastAsia"/>
              </w:rPr>
              <w:t>f</w:t>
            </w:r>
            <w:r w:rsidRPr="1EE1375A">
              <w:rPr>
                <w:rFonts w:eastAsiaTheme="minorEastAsia"/>
              </w:rPr>
              <w:t>ollow</w:t>
            </w:r>
            <w:r w:rsidR="00924CDE">
              <w:rPr>
                <w:rFonts w:eastAsiaTheme="minorEastAsia"/>
              </w:rPr>
              <w:t>-u</w:t>
            </w:r>
            <w:r w:rsidRPr="1EE1375A">
              <w:rPr>
                <w:rFonts w:eastAsiaTheme="minorEastAsia"/>
              </w:rPr>
              <w:t xml:space="preserve">p </w:t>
            </w:r>
            <w:r w:rsidR="00924CDE">
              <w:rPr>
                <w:rFonts w:eastAsiaTheme="minorEastAsia"/>
              </w:rPr>
              <w:t>c</w:t>
            </w:r>
            <w:r w:rsidRPr="1EE1375A">
              <w:rPr>
                <w:rFonts w:eastAsiaTheme="minorEastAsia"/>
              </w:rPr>
              <w:t xml:space="preserve">onsultation </w:t>
            </w:r>
            <w:r w:rsidR="00924CDE">
              <w:rPr>
                <w:rFonts w:eastAsiaTheme="minorEastAsia"/>
              </w:rPr>
              <w:t>c</w:t>
            </w:r>
            <w:r w:rsidRPr="1EE1375A">
              <w:rPr>
                <w:rFonts w:eastAsiaTheme="minorEastAsia"/>
              </w:rPr>
              <w:t>all</w:t>
            </w:r>
          </w:p>
          <w:p w:rsidRPr="00556CF4" w:rsidR="00CD015C" w:rsidP="009952FF" w:rsidRDefault="00CD015C" w14:paraId="60AF21E3" w14:textId="77777777">
            <w:pPr>
              <w:widowControl w:val="0"/>
              <w:spacing w:before="20" w:after="20" w:line="240" w:lineRule="auto"/>
              <w:rPr>
                <w:rFonts w:eastAsiaTheme="minorEastAsia"/>
              </w:rPr>
            </w:pPr>
          </w:p>
        </w:tc>
        <w:tc>
          <w:tcPr>
            <w:tcW w:w="0" w:type="auto"/>
          </w:tcPr>
          <w:p w:rsidRPr="1EE1375A" w:rsidR="00CD015C" w:rsidP="009952FF" w:rsidRDefault="00C80450" w14:paraId="39B3E618" w14:textId="1A6E3D26">
            <w:pPr>
              <w:widowControl w:val="0"/>
              <w:spacing w:before="20" w:after="20" w:line="240" w:lineRule="auto"/>
              <w:rPr>
                <w:rFonts w:eastAsiaTheme="minorEastAsia"/>
              </w:rPr>
            </w:pPr>
            <w:r>
              <w:rPr>
                <w:rFonts w:eastAsiaTheme="minorEastAsia"/>
              </w:rPr>
              <w:t xml:space="preserve">August </w:t>
            </w:r>
            <w:r w:rsidR="00CD015C">
              <w:rPr>
                <w:rFonts w:eastAsiaTheme="minorEastAsia"/>
              </w:rPr>
              <w:t>2022</w:t>
            </w:r>
          </w:p>
        </w:tc>
        <w:tc>
          <w:tcPr>
            <w:tcW w:w="0" w:type="auto"/>
          </w:tcPr>
          <w:p w:rsidRPr="00556CF4" w:rsidR="00CD015C" w:rsidP="009952FF" w:rsidRDefault="00CD015C" w14:paraId="458EFE63" w14:textId="77777777">
            <w:pPr>
              <w:widowControl w:val="0"/>
              <w:spacing w:before="20" w:after="20" w:line="240" w:lineRule="auto"/>
              <w:rPr>
                <w:rFonts w:eastAsiaTheme="minorEastAsia"/>
              </w:rPr>
            </w:pPr>
            <w:r w:rsidRPr="1EE1375A">
              <w:rPr>
                <w:rFonts w:eastAsiaTheme="minorEastAsia"/>
              </w:rPr>
              <w:t>10% of funding</w:t>
            </w:r>
          </w:p>
        </w:tc>
        <w:tc>
          <w:tcPr>
            <w:tcW w:w="0" w:type="auto"/>
            <w:vMerge w:val="restart"/>
          </w:tcPr>
          <w:p w:rsidR="00C80450" w:rsidP="00C80450" w:rsidRDefault="00C80450" w14:paraId="1B05922C" w14:textId="24FB222B">
            <w:pPr>
              <w:spacing w:line="240" w:lineRule="auto"/>
              <w:jc w:val="center"/>
              <w:rPr>
                <w:rFonts w:eastAsiaTheme="minorEastAsia"/>
                <w:b/>
                <w:bCs/>
              </w:rPr>
            </w:pPr>
            <w:r w:rsidRPr="1EE1375A">
              <w:rPr>
                <w:rFonts w:eastAsiaTheme="minorEastAsia"/>
                <w:b/>
                <w:bCs/>
              </w:rPr>
              <w:t>Invoice #</w:t>
            </w:r>
            <w:r>
              <w:rPr>
                <w:rFonts w:eastAsiaTheme="minorEastAsia"/>
                <w:b/>
                <w:bCs/>
              </w:rPr>
              <w:t>3</w:t>
            </w:r>
            <w:r w:rsidRPr="1EE1375A">
              <w:rPr>
                <w:rFonts w:eastAsiaTheme="minorEastAsia"/>
                <w:b/>
                <w:bCs/>
              </w:rPr>
              <w:t xml:space="preserve"> </w:t>
            </w:r>
          </w:p>
          <w:p w:rsidR="00CD015C" w:rsidP="001D0657" w:rsidRDefault="00C80450" w14:paraId="19C1E360" w14:textId="43C28009">
            <w:pPr>
              <w:jc w:val="center"/>
            </w:pPr>
            <w:r w:rsidRPr="1EE1375A">
              <w:rPr>
                <w:rFonts w:eastAsiaTheme="minorEastAsia"/>
              </w:rPr>
              <w:t xml:space="preserve">Due by or before </w:t>
            </w:r>
            <w:r>
              <w:rPr>
                <w:rFonts w:eastAsiaTheme="minorEastAsia"/>
              </w:rPr>
              <w:t xml:space="preserve">August </w:t>
            </w:r>
            <w:r w:rsidRPr="1EE1375A">
              <w:rPr>
                <w:rFonts w:eastAsiaTheme="minorEastAsia"/>
              </w:rPr>
              <w:t>31</w:t>
            </w:r>
            <w:r w:rsidRPr="1EE1375A">
              <w:rPr>
                <w:rFonts w:eastAsiaTheme="minorEastAsia"/>
                <w:vertAlign w:val="superscript"/>
              </w:rPr>
              <w:t>st</w:t>
            </w:r>
            <w:r w:rsidRPr="1EE1375A">
              <w:rPr>
                <w:rFonts w:eastAsiaTheme="minorEastAsia"/>
              </w:rPr>
              <w:t>, 2022</w:t>
            </w:r>
          </w:p>
        </w:tc>
      </w:tr>
      <w:tr w:rsidR="00C80450" w:rsidTr="00924CDE" w14:paraId="03EA281E" w14:textId="77777777">
        <w:trPr>
          <w:jc w:val="center"/>
        </w:trPr>
        <w:tc>
          <w:tcPr>
            <w:tcW w:w="0" w:type="auto"/>
            <w:shd w:val="clear" w:color="auto" w:fill="FFFFFF" w:themeFill="background1"/>
          </w:tcPr>
          <w:p w:rsidR="00CD015C" w:rsidP="00924CDE" w:rsidRDefault="00CD015C" w14:paraId="349FE084" w14:textId="77777777">
            <w:pPr>
              <w:pStyle w:val="ListParagraph"/>
              <w:numPr>
                <w:ilvl w:val="0"/>
                <w:numId w:val="2"/>
              </w:numPr>
              <w:spacing w:line="240" w:lineRule="auto"/>
              <w:ind w:left="330"/>
              <w:rPr>
                <w:rFonts w:eastAsiaTheme="minorEastAsia"/>
                <w:color w:val="000000" w:themeColor="text1"/>
              </w:rPr>
            </w:pPr>
            <w:r>
              <w:rPr>
                <w:rFonts w:eastAsiaTheme="minorEastAsia"/>
              </w:rPr>
              <w:t>End-of-Project</w:t>
            </w:r>
            <w:r w:rsidRPr="1EE1375A">
              <w:rPr>
                <w:rFonts w:eastAsiaTheme="minorEastAsia"/>
              </w:rPr>
              <w:t xml:space="preserve"> Survey</w:t>
            </w:r>
          </w:p>
        </w:tc>
        <w:tc>
          <w:tcPr>
            <w:tcW w:w="0" w:type="auto"/>
          </w:tcPr>
          <w:p w:rsidR="00CD015C" w:rsidP="009952FF" w:rsidRDefault="00CD015C" w14:paraId="7474E6BD" w14:textId="3E4E1EC5">
            <w:pPr>
              <w:spacing w:line="240" w:lineRule="auto"/>
              <w:rPr>
                <w:rFonts w:eastAsiaTheme="minorEastAsia"/>
              </w:rPr>
            </w:pPr>
            <w:r w:rsidRPr="1EE1375A">
              <w:rPr>
                <w:rFonts w:eastAsiaTheme="minorEastAsia"/>
              </w:rPr>
              <w:t xml:space="preserve">Submission of </w:t>
            </w:r>
            <w:r w:rsidR="00924CDE">
              <w:rPr>
                <w:rFonts w:eastAsiaTheme="minorEastAsia"/>
              </w:rPr>
              <w:t>e</w:t>
            </w:r>
            <w:r>
              <w:rPr>
                <w:rFonts w:eastAsiaTheme="minorEastAsia"/>
              </w:rPr>
              <w:t>nd-of-</w:t>
            </w:r>
            <w:r w:rsidR="00924CDE">
              <w:rPr>
                <w:rFonts w:eastAsiaTheme="minorEastAsia"/>
              </w:rPr>
              <w:t>p</w:t>
            </w:r>
            <w:r>
              <w:rPr>
                <w:rFonts w:eastAsiaTheme="minorEastAsia"/>
              </w:rPr>
              <w:t>roject</w:t>
            </w:r>
            <w:r w:rsidRPr="1EE1375A">
              <w:rPr>
                <w:rFonts w:eastAsiaTheme="minorEastAsia"/>
              </w:rPr>
              <w:t xml:space="preserve"> </w:t>
            </w:r>
            <w:r w:rsidR="00924CDE">
              <w:rPr>
                <w:rFonts w:eastAsiaTheme="minorEastAsia"/>
              </w:rPr>
              <w:t>s</w:t>
            </w:r>
            <w:r w:rsidRPr="1EE1375A">
              <w:rPr>
                <w:rFonts w:eastAsiaTheme="minorEastAsia"/>
              </w:rPr>
              <w:t>urvey</w:t>
            </w:r>
          </w:p>
        </w:tc>
        <w:tc>
          <w:tcPr>
            <w:tcW w:w="0" w:type="auto"/>
          </w:tcPr>
          <w:p w:rsidRPr="1EE1375A" w:rsidR="00CD015C" w:rsidP="009952FF" w:rsidRDefault="00C80450" w14:paraId="43C4E91B" w14:textId="122CA835">
            <w:pPr>
              <w:spacing w:line="240" w:lineRule="auto"/>
              <w:rPr>
                <w:rFonts w:eastAsiaTheme="minorEastAsia"/>
              </w:rPr>
            </w:pPr>
            <w:r>
              <w:rPr>
                <w:rFonts w:eastAsiaTheme="minorEastAsia"/>
              </w:rPr>
              <w:t xml:space="preserve">August </w:t>
            </w:r>
            <w:r w:rsidR="00CD015C">
              <w:rPr>
                <w:rFonts w:eastAsiaTheme="minorEastAsia"/>
              </w:rPr>
              <w:t>2022</w:t>
            </w:r>
          </w:p>
        </w:tc>
        <w:tc>
          <w:tcPr>
            <w:tcW w:w="0" w:type="auto"/>
          </w:tcPr>
          <w:p w:rsidR="00CD015C" w:rsidP="009952FF" w:rsidRDefault="00CD015C" w14:paraId="742F81CE" w14:textId="77777777">
            <w:pPr>
              <w:spacing w:line="240" w:lineRule="auto"/>
              <w:rPr>
                <w:rFonts w:eastAsiaTheme="minorEastAsia"/>
              </w:rPr>
            </w:pPr>
            <w:r w:rsidRPr="1EE1375A">
              <w:rPr>
                <w:rFonts w:eastAsiaTheme="minorEastAsia"/>
              </w:rPr>
              <w:t xml:space="preserve">10% of funding </w:t>
            </w:r>
          </w:p>
        </w:tc>
        <w:tc>
          <w:tcPr>
            <w:tcW w:w="0" w:type="auto"/>
            <w:vMerge/>
          </w:tcPr>
          <w:p w:rsidR="00CD015C" w:rsidP="009952FF" w:rsidRDefault="00CD015C" w14:paraId="5D93A33C" w14:textId="77777777"/>
        </w:tc>
      </w:tr>
    </w:tbl>
    <w:p w:rsidR="00716E39" w:rsidP="00C93E0E" w:rsidRDefault="00716E39" w14:paraId="5E401118" w14:textId="77777777">
      <w:pPr>
        <w:pStyle w:val="Default"/>
        <w:spacing w:after="120"/>
        <w:rPr>
          <w:color w:val="auto"/>
          <w:sz w:val="22"/>
          <w:szCs w:val="22"/>
        </w:rPr>
      </w:pPr>
    </w:p>
    <w:p w:rsidRPr="009952FF" w:rsidR="00390CB0" w:rsidP="00C80450" w:rsidRDefault="00390CB0" w14:paraId="5CB853F4" w14:textId="44DB717E">
      <w:pPr>
        <w:pStyle w:val="Heading3"/>
      </w:pPr>
      <w:r w:rsidRPr="009952FF">
        <w:t>Method of Payment</w:t>
      </w:r>
    </w:p>
    <w:p w:rsidRPr="00924CDE" w:rsidR="00390CB0" w:rsidP="002619E9" w:rsidRDefault="00390CB0" w14:paraId="7DEB930D" w14:textId="35A83769">
      <w:pPr>
        <w:spacing w:after="0" w:line="240" w:lineRule="auto"/>
        <w:rPr>
          <w:color w:val="000000"/>
        </w:rPr>
      </w:pPr>
      <w:r w:rsidRPr="60EE50F1">
        <w:rPr>
          <w:color w:val="000000" w:themeColor="text1"/>
        </w:rPr>
        <w:t xml:space="preserve">NACCHO will pay the selected </w:t>
      </w:r>
      <w:r w:rsidR="008D518E">
        <w:rPr>
          <w:color w:val="000000" w:themeColor="text1"/>
        </w:rPr>
        <w:t xml:space="preserve">LHDs </w:t>
      </w:r>
      <w:r w:rsidRPr="60EE50F1" w:rsidR="000D56A6">
        <w:rPr>
          <w:color w:val="000000" w:themeColor="text1"/>
        </w:rPr>
        <w:t xml:space="preserve">in installments </w:t>
      </w:r>
      <w:r w:rsidRPr="60EE50F1" w:rsidR="00EA3C70">
        <w:rPr>
          <w:color w:val="000000" w:themeColor="text1"/>
        </w:rPr>
        <w:t xml:space="preserve">upon receipt of deliverables per the payment schedule identified in the Scope of Work above. Please not that NACCHO reserves the right to make changes to the project timeline and payment schedule if necessary. </w:t>
      </w:r>
    </w:p>
    <w:p w:rsidRPr="00924CDE" w:rsidR="002619E9" w:rsidP="00CD015C" w:rsidRDefault="002619E9" w14:paraId="3AB6AAF8" w14:textId="77777777">
      <w:pPr>
        <w:spacing w:after="0" w:line="240" w:lineRule="auto"/>
      </w:pPr>
    </w:p>
    <w:p w:rsidRPr="00924CDE" w:rsidR="00E44CCF" w:rsidP="00390CB0" w:rsidRDefault="00390CB0" w14:paraId="00E43AA8" w14:textId="563DC515">
      <w:pPr>
        <w:pStyle w:val="Default"/>
        <w:rPr>
          <w:color w:val="auto"/>
          <w:sz w:val="22"/>
          <w:szCs w:val="22"/>
        </w:rPr>
      </w:pPr>
      <w:r w:rsidRPr="00C80450">
        <w:rPr>
          <w:rStyle w:val="Heading3Char"/>
        </w:rPr>
        <w:t>NACCHO Support</w:t>
      </w:r>
      <w:r w:rsidRPr="009952FF">
        <w:rPr>
          <w:b/>
          <w:sz w:val="22"/>
          <w:szCs w:val="22"/>
          <w:u w:val="single"/>
        </w:rPr>
        <w:br/>
      </w:r>
      <w:r w:rsidRPr="00924CDE" w:rsidR="002D4E53">
        <w:rPr>
          <w:color w:val="auto"/>
          <w:sz w:val="22"/>
          <w:szCs w:val="22"/>
        </w:rPr>
        <w:t>NACCHO staff</w:t>
      </w:r>
      <w:r w:rsidR="003D3F03">
        <w:rPr>
          <w:color w:val="auto"/>
          <w:sz w:val="22"/>
          <w:szCs w:val="22"/>
        </w:rPr>
        <w:t xml:space="preserve"> serve as a resource and</w:t>
      </w:r>
      <w:r w:rsidRPr="00924CDE" w:rsidR="00F52620">
        <w:rPr>
          <w:color w:val="auto"/>
          <w:sz w:val="22"/>
          <w:szCs w:val="22"/>
        </w:rPr>
        <w:t xml:space="preserve"> will coordinate with the consultants to provide one-on-one technical assistance to all selected LHDs for the activities as outline</w:t>
      </w:r>
      <w:r w:rsidR="00CC40B7">
        <w:rPr>
          <w:color w:val="auto"/>
          <w:sz w:val="22"/>
          <w:szCs w:val="22"/>
        </w:rPr>
        <w:t>d</w:t>
      </w:r>
      <w:r w:rsidRPr="00924CDE" w:rsidR="00F52620">
        <w:rPr>
          <w:color w:val="auto"/>
          <w:sz w:val="22"/>
          <w:szCs w:val="22"/>
        </w:rPr>
        <w:t xml:space="preserve"> in the scope of work. </w:t>
      </w:r>
    </w:p>
    <w:p w:rsidRPr="009952FF" w:rsidR="00A748B1" w:rsidP="001D0657" w:rsidRDefault="00A748B1" w14:paraId="57A891E3" w14:textId="77777777">
      <w:pPr>
        <w:pStyle w:val="Default"/>
        <w:numPr>
          <w:ilvl w:val="0"/>
          <w:numId w:val="27"/>
        </w:numPr>
        <w:ind w:left="810"/>
        <w:rPr>
          <w:color w:val="auto"/>
          <w:sz w:val="22"/>
          <w:szCs w:val="22"/>
        </w:rPr>
      </w:pPr>
      <w:r w:rsidRPr="00924CDE">
        <w:rPr>
          <w:color w:val="auto"/>
          <w:sz w:val="22"/>
          <w:szCs w:val="22"/>
        </w:rPr>
        <w:t>Serve as liaison between the selected LHDs and consultants as needed</w:t>
      </w:r>
    </w:p>
    <w:p w:rsidRPr="009952FF" w:rsidR="00A748B1" w:rsidP="001D0657" w:rsidRDefault="00E44CCF" w14:paraId="469DE581" w14:textId="77777777">
      <w:pPr>
        <w:pStyle w:val="Default"/>
        <w:numPr>
          <w:ilvl w:val="0"/>
          <w:numId w:val="27"/>
        </w:numPr>
        <w:ind w:left="810"/>
        <w:rPr>
          <w:color w:val="auto"/>
          <w:sz w:val="22"/>
          <w:szCs w:val="22"/>
        </w:rPr>
      </w:pPr>
      <w:r w:rsidRPr="00924CDE">
        <w:rPr>
          <w:color w:val="auto"/>
          <w:sz w:val="22"/>
          <w:szCs w:val="22"/>
        </w:rPr>
        <w:t xml:space="preserve">Support </w:t>
      </w:r>
      <w:r w:rsidRPr="00924CDE" w:rsidR="00A748B1">
        <w:rPr>
          <w:color w:val="auto"/>
          <w:sz w:val="22"/>
          <w:szCs w:val="22"/>
        </w:rPr>
        <w:t>the development of all workshop materials</w:t>
      </w:r>
    </w:p>
    <w:p w:rsidRPr="009952FF" w:rsidR="0034545E" w:rsidP="001D0657" w:rsidRDefault="0034545E" w14:paraId="6D732BDA" w14:textId="3560E731">
      <w:pPr>
        <w:pStyle w:val="Default"/>
        <w:numPr>
          <w:ilvl w:val="0"/>
          <w:numId w:val="27"/>
        </w:numPr>
        <w:ind w:left="810"/>
        <w:rPr>
          <w:color w:val="auto"/>
          <w:sz w:val="22"/>
          <w:szCs w:val="22"/>
        </w:rPr>
      </w:pPr>
      <w:r w:rsidRPr="00924CDE">
        <w:rPr>
          <w:color w:val="auto"/>
          <w:sz w:val="22"/>
          <w:szCs w:val="22"/>
        </w:rPr>
        <w:t xml:space="preserve">Attend </w:t>
      </w:r>
      <w:r w:rsidRPr="00924CDE" w:rsidR="00090988">
        <w:rPr>
          <w:color w:val="auto"/>
          <w:sz w:val="22"/>
          <w:szCs w:val="22"/>
        </w:rPr>
        <w:t>consultation calls and workshops to provide ad hoc support as needed</w:t>
      </w:r>
    </w:p>
    <w:p w:rsidR="00390CB0" w:rsidP="00CD015C" w:rsidRDefault="00390CB0" w14:paraId="5175435F" w14:textId="00D1D702">
      <w:pPr>
        <w:pStyle w:val="Default"/>
        <w:ind w:left="1440"/>
        <w:rPr>
          <w:color w:val="auto"/>
          <w:sz w:val="22"/>
          <w:szCs w:val="22"/>
        </w:rPr>
      </w:pPr>
    </w:p>
    <w:p w:rsidR="00EE321C" w:rsidP="002C2474" w:rsidRDefault="00EE321C" w14:paraId="6EDF24ED" w14:textId="7A165984">
      <w:pPr>
        <w:spacing w:after="0"/>
        <w:rPr>
          <w:sz w:val="20"/>
          <w:szCs w:val="20"/>
        </w:rPr>
      </w:pPr>
    </w:p>
    <w:p w:rsidR="00C80450" w:rsidP="002C2474" w:rsidRDefault="00C80450" w14:paraId="46751596" w14:textId="3BF57653">
      <w:pPr>
        <w:spacing w:after="0"/>
        <w:rPr>
          <w:sz w:val="20"/>
          <w:szCs w:val="20"/>
        </w:rPr>
      </w:pPr>
    </w:p>
    <w:p w:rsidR="00C80450" w:rsidP="002C2474" w:rsidRDefault="00C80450" w14:paraId="52C91482" w14:textId="799AF919">
      <w:pPr>
        <w:spacing w:after="0"/>
        <w:rPr>
          <w:sz w:val="20"/>
          <w:szCs w:val="20"/>
        </w:rPr>
      </w:pPr>
    </w:p>
    <w:p w:rsidR="00CC40B7" w:rsidP="002C2474" w:rsidRDefault="00CC40B7" w14:paraId="74A00D84" w14:textId="77777777">
      <w:pPr>
        <w:spacing w:after="0"/>
        <w:rPr>
          <w:sz w:val="20"/>
          <w:szCs w:val="20"/>
        </w:rPr>
      </w:pPr>
    </w:p>
    <w:p w:rsidRPr="002C2474" w:rsidR="00C80450" w:rsidP="002C2474" w:rsidRDefault="00C80450" w14:paraId="49533CAD" w14:textId="77777777">
      <w:pPr>
        <w:spacing w:after="0"/>
        <w:rPr>
          <w:sz w:val="20"/>
          <w:szCs w:val="20"/>
        </w:rPr>
      </w:pPr>
    </w:p>
    <w:p w:rsidR="008B535F" w:rsidP="008B535F" w:rsidRDefault="008B535F" w14:paraId="52D6ADA8" w14:textId="77777777">
      <w:pPr>
        <w:autoSpaceDE w:val="0"/>
        <w:autoSpaceDN w:val="0"/>
        <w:adjustRightInd w:val="0"/>
        <w:spacing w:after="27" w:line="240" w:lineRule="auto"/>
        <w:rPr>
          <w:rFonts w:cs="Times New Roman"/>
          <w:i/>
          <w:color w:val="000000"/>
          <w:sz w:val="20"/>
          <w:szCs w:val="20"/>
        </w:rPr>
      </w:pPr>
    </w:p>
    <w:p w:rsidRPr="00551BF5" w:rsidR="008B535F" w:rsidP="008B535F" w:rsidRDefault="00ED4A8D" w14:paraId="10D0D4DC" w14:textId="1ABE8994">
      <w:pPr>
        <w:pStyle w:val="Default"/>
        <w:rPr>
          <w:b/>
          <w:bCs/>
          <w:smallCaps/>
          <w:color w:val="244061" w:themeColor="accent1" w:themeShade="80"/>
          <w:sz w:val="28"/>
          <w:szCs w:val="28"/>
          <w:u w:val="single"/>
        </w:rPr>
      </w:pPr>
      <w:r>
        <w:rPr>
          <w:b/>
          <w:bCs/>
          <w:smallCaps/>
          <w:color w:val="244061" w:themeColor="accent1" w:themeShade="80"/>
          <w:sz w:val="28"/>
          <w:szCs w:val="28"/>
          <w:u w:val="single"/>
        </w:rPr>
        <w:t xml:space="preserve">Application </w:t>
      </w:r>
      <w:r w:rsidRPr="1EE1375A" w:rsidR="2E4E6EF8">
        <w:rPr>
          <w:b/>
          <w:bCs/>
          <w:smallCaps/>
          <w:color w:val="244061" w:themeColor="accent1" w:themeShade="80"/>
          <w:sz w:val="28"/>
          <w:szCs w:val="28"/>
          <w:u w:val="single"/>
        </w:rPr>
        <w:t>Response Format</w:t>
      </w:r>
      <w:r w:rsidRPr="1EE1375A" w:rsidR="550EBF04">
        <w:rPr>
          <w:b/>
          <w:bCs/>
          <w:smallCaps/>
          <w:color w:val="244061" w:themeColor="accent1" w:themeShade="80"/>
          <w:sz w:val="28"/>
          <w:szCs w:val="28"/>
          <w:u w:val="single"/>
        </w:rPr>
        <w:t xml:space="preserve"> </w:t>
      </w:r>
      <w:r w:rsidRPr="00F85424" w:rsidR="550EBF04">
        <w:rPr>
          <w:b/>
          <w:bCs/>
          <w:smallCaps/>
          <w:color w:val="244061" w:themeColor="accent1" w:themeShade="80"/>
          <w:sz w:val="28"/>
          <w:szCs w:val="28"/>
          <w:u w:val="single"/>
        </w:rPr>
        <w:t>&amp; Selection Criteria</w:t>
      </w:r>
    </w:p>
    <w:p w:rsidR="006C5C45" w:rsidP="006C5C45" w:rsidRDefault="006C5C45" w14:paraId="638CE768" w14:textId="77777777">
      <w:pPr>
        <w:pStyle w:val="Default"/>
        <w:rPr>
          <w:rFonts w:cs="Times New Roman" w:asciiTheme="minorHAnsi" w:hAnsiTheme="minorHAnsi"/>
          <w:i/>
          <w:color w:val="auto"/>
          <w:sz w:val="20"/>
          <w:szCs w:val="20"/>
        </w:rPr>
      </w:pPr>
    </w:p>
    <w:p w:rsidR="00560E43" w:rsidP="001D0657" w:rsidRDefault="00511895" w14:paraId="76E9333D" w14:textId="6B5B97B3">
      <w:pPr>
        <w:pStyle w:val="Heading3"/>
        <w:spacing w:after="120"/>
      </w:pPr>
      <w:r w:rsidRPr="00511895">
        <w:t xml:space="preserve">Application Format and Instructions </w:t>
      </w:r>
    </w:p>
    <w:p w:rsidR="008625A5" w:rsidP="001D0657" w:rsidRDefault="00A73BC0" w14:paraId="7A1FA88E" w14:textId="403EFB4A">
      <w:r>
        <w:t>The proposal narrative must include the following content:</w:t>
      </w:r>
    </w:p>
    <w:p w:rsidRPr="001D0657" w:rsidR="00A73BC0" w:rsidP="00D916DD" w:rsidRDefault="00A73BC0" w14:paraId="12B8679F" w14:textId="37DD6065">
      <w:pPr>
        <w:pStyle w:val="Default"/>
        <w:numPr>
          <w:ilvl w:val="0"/>
          <w:numId w:val="32"/>
        </w:numPr>
        <w:spacing w:after="120"/>
        <w:rPr>
          <w:color w:val="1F497D" w:themeColor="text2"/>
          <w:sz w:val="22"/>
          <w:szCs w:val="22"/>
        </w:rPr>
      </w:pPr>
      <w:r>
        <w:rPr>
          <w:b/>
          <w:bCs/>
          <w:sz w:val="22"/>
          <w:szCs w:val="22"/>
        </w:rPr>
        <w:t>Contact Information</w:t>
      </w:r>
      <w:r w:rsidRPr="00724A0A">
        <w:rPr>
          <w:b/>
          <w:bCs/>
          <w:sz w:val="22"/>
          <w:szCs w:val="22"/>
        </w:rPr>
        <w:t xml:space="preserve">: </w:t>
      </w:r>
      <w:r>
        <w:rPr>
          <w:color w:val="auto"/>
          <w:sz w:val="22"/>
          <w:szCs w:val="22"/>
        </w:rPr>
        <w:t>Please provide all necessary contact information as specified by the online application portal.</w:t>
      </w:r>
    </w:p>
    <w:p w:rsidRPr="00AE623C" w:rsidR="002A2389" w:rsidP="007C037C" w:rsidRDefault="00AD07C4" w14:paraId="66FBEB18" w14:textId="77777777">
      <w:pPr>
        <w:pStyle w:val="Default"/>
        <w:numPr>
          <w:ilvl w:val="0"/>
          <w:numId w:val="32"/>
        </w:numPr>
        <w:spacing w:after="120"/>
        <w:rPr>
          <w:color w:val="1F497D" w:themeColor="text2"/>
          <w:sz w:val="22"/>
          <w:szCs w:val="22"/>
        </w:rPr>
      </w:pPr>
      <w:r w:rsidRPr="001D0657">
        <w:rPr>
          <w:b/>
          <w:bCs/>
          <w:sz w:val="22"/>
          <w:szCs w:val="22"/>
        </w:rPr>
        <w:t xml:space="preserve">SPACECAT Results: </w:t>
      </w:r>
      <w:r w:rsidR="007671BE">
        <w:rPr>
          <w:color w:val="auto"/>
          <w:sz w:val="22"/>
          <w:szCs w:val="22"/>
        </w:rPr>
        <w:t xml:space="preserve">All applicants should </w:t>
      </w:r>
      <w:r w:rsidRPr="004F2CE2">
        <w:rPr>
          <w:color w:val="auto"/>
          <w:sz w:val="22"/>
          <w:szCs w:val="22"/>
        </w:rPr>
        <w:t xml:space="preserve">upload a copy of </w:t>
      </w:r>
      <w:r w:rsidR="001406B2">
        <w:rPr>
          <w:color w:val="auto"/>
          <w:sz w:val="22"/>
          <w:szCs w:val="22"/>
        </w:rPr>
        <w:t xml:space="preserve">their LHD’s </w:t>
      </w:r>
      <w:r w:rsidRPr="004F2CE2">
        <w:rPr>
          <w:color w:val="auto"/>
          <w:sz w:val="22"/>
          <w:szCs w:val="22"/>
        </w:rPr>
        <w:t>SPACECAT results in the application portal.</w:t>
      </w:r>
      <w:r w:rsidR="001406B2">
        <w:rPr>
          <w:color w:val="auto"/>
          <w:sz w:val="22"/>
          <w:szCs w:val="22"/>
        </w:rPr>
        <w:t xml:space="preserve"> </w:t>
      </w:r>
    </w:p>
    <w:p w:rsidRPr="00D20811" w:rsidR="007C037C" w:rsidP="00AE623C" w:rsidRDefault="007C037C" w14:paraId="4E4D5125" w14:textId="0100D5CB">
      <w:pPr>
        <w:pStyle w:val="Default"/>
        <w:numPr>
          <w:ilvl w:val="1"/>
          <w:numId w:val="32"/>
        </w:numPr>
        <w:spacing w:after="120"/>
        <w:rPr>
          <w:color w:val="auto"/>
          <w:sz w:val="20"/>
          <w:szCs w:val="20"/>
        </w:rPr>
      </w:pPr>
      <w:r w:rsidRPr="00D20811">
        <w:rPr>
          <w:color w:val="auto"/>
          <w:sz w:val="22"/>
          <w:szCs w:val="22"/>
        </w:rPr>
        <w:t xml:space="preserve">If </w:t>
      </w:r>
      <w:r w:rsidRPr="00D20811" w:rsidR="00434EA9">
        <w:rPr>
          <w:color w:val="auto"/>
          <w:sz w:val="22"/>
          <w:szCs w:val="22"/>
        </w:rPr>
        <w:t>your health department complete</w:t>
      </w:r>
      <w:r w:rsidRPr="00D20811">
        <w:rPr>
          <w:color w:val="auto"/>
          <w:sz w:val="22"/>
          <w:szCs w:val="22"/>
        </w:rPr>
        <w:t>d</w:t>
      </w:r>
      <w:r w:rsidRPr="00D20811" w:rsidR="00434EA9">
        <w:rPr>
          <w:color w:val="auto"/>
          <w:sz w:val="22"/>
          <w:szCs w:val="22"/>
        </w:rPr>
        <w:t xml:space="preserve"> the SPACECAT </w:t>
      </w:r>
      <w:r w:rsidRPr="00D20811" w:rsidR="00E15CCF">
        <w:rPr>
          <w:color w:val="auto"/>
          <w:sz w:val="22"/>
          <w:szCs w:val="22"/>
        </w:rPr>
        <w:t xml:space="preserve">as part of the national fielding </w:t>
      </w:r>
      <w:r w:rsidRPr="00D20811" w:rsidR="007A6956">
        <w:rPr>
          <w:color w:val="auto"/>
          <w:sz w:val="22"/>
          <w:szCs w:val="22"/>
        </w:rPr>
        <w:t>conducted October through December 2021</w:t>
      </w:r>
      <w:r w:rsidRPr="00D20811" w:rsidR="000F173D">
        <w:rPr>
          <w:color w:val="auto"/>
          <w:sz w:val="22"/>
          <w:szCs w:val="22"/>
        </w:rPr>
        <w:t xml:space="preserve">, please submit a PDF </w:t>
      </w:r>
      <w:r w:rsidRPr="00D20811">
        <w:rPr>
          <w:color w:val="auto"/>
          <w:sz w:val="22"/>
          <w:szCs w:val="22"/>
        </w:rPr>
        <w:t xml:space="preserve">attachment of your SPACECAT results. If you do not have your previously submitted </w:t>
      </w:r>
      <w:r w:rsidRPr="00D20811" w:rsidR="002A2389">
        <w:rPr>
          <w:color w:val="auto"/>
          <w:sz w:val="22"/>
          <w:szCs w:val="22"/>
        </w:rPr>
        <w:t xml:space="preserve">assessment </w:t>
      </w:r>
      <w:r w:rsidRPr="00D20811">
        <w:rPr>
          <w:color w:val="auto"/>
          <w:sz w:val="22"/>
          <w:szCs w:val="22"/>
        </w:rPr>
        <w:t>results</w:t>
      </w:r>
      <w:r w:rsidRPr="00D20811" w:rsidR="002A2389">
        <w:rPr>
          <w:color w:val="auto"/>
          <w:sz w:val="22"/>
          <w:szCs w:val="22"/>
        </w:rPr>
        <w:t xml:space="preserve"> saved</w:t>
      </w:r>
      <w:r w:rsidRPr="00D20811">
        <w:rPr>
          <w:color w:val="auto"/>
          <w:sz w:val="22"/>
          <w:szCs w:val="22"/>
        </w:rPr>
        <w:t>, please reach out to</w:t>
      </w:r>
      <w:r w:rsidRPr="00D20811" w:rsidR="002A2389">
        <w:rPr>
          <w:color w:val="auto"/>
          <w:sz w:val="22"/>
          <w:szCs w:val="22"/>
        </w:rPr>
        <w:t xml:space="preserve"> the Injury and Violence Prevention Team at</w:t>
      </w:r>
      <w:r w:rsidRPr="00D20811">
        <w:rPr>
          <w:color w:val="auto"/>
          <w:sz w:val="22"/>
          <w:szCs w:val="22"/>
        </w:rPr>
        <w:t xml:space="preserve"> </w:t>
      </w:r>
      <w:hyperlink w:history="1" r:id="rId15">
        <w:r w:rsidRPr="00D20811">
          <w:rPr>
            <w:rStyle w:val="Hyperlink"/>
            <w:color w:val="auto"/>
            <w:sz w:val="22"/>
            <w:szCs w:val="22"/>
          </w:rPr>
          <w:t>IVP@naccho.org</w:t>
        </w:r>
      </w:hyperlink>
      <w:r w:rsidRPr="00D20811" w:rsidR="002A2389">
        <w:rPr>
          <w:rStyle w:val="Hyperlink"/>
          <w:color w:val="auto"/>
          <w:sz w:val="22"/>
          <w:szCs w:val="22"/>
        </w:rPr>
        <w:t xml:space="preserve"> </w:t>
      </w:r>
      <w:r w:rsidRPr="00D20811">
        <w:rPr>
          <w:color w:val="auto"/>
          <w:sz w:val="22"/>
          <w:szCs w:val="22"/>
        </w:rPr>
        <w:t xml:space="preserve">and we will provide </w:t>
      </w:r>
      <w:r w:rsidRPr="00D20811" w:rsidR="002A2389">
        <w:rPr>
          <w:color w:val="auto"/>
          <w:sz w:val="22"/>
          <w:szCs w:val="22"/>
        </w:rPr>
        <w:t>a copy of your results</w:t>
      </w:r>
      <w:r w:rsidRPr="00D20811">
        <w:rPr>
          <w:color w:val="auto"/>
          <w:sz w:val="22"/>
          <w:szCs w:val="22"/>
        </w:rPr>
        <w:t>.</w:t>
      </w:r>
    </w:p>
    <w:p w:rsidRPr="007C037C" w:rsidR="00911AAF" w:rsidP="00AE623C" w:rsidRDefault="00964A91" w14:paraId="2FB55F5B" w14:textId="41A20DC5">
      <w:pPr>
        <w:pStyle w:val="Default"/>
        <w:numPr>
          <w:ilvl w:val="1"/>
          <w:numId w:val="32"/>
        </w:numPr>
        <w:spacing w:after="120"/>
        <w:rPr>
          <w:color w:val="1F497D" w:themeColor="text2"/>
          <w:sz w:val="22"/>
          <w:szCs w:val="22"/>
        </w:rPr>
      </w:pPr>
      <w:r w:rsidRPr="007C037C">
        <w:rPr>
          <w:color w:val="auto"/>
          <w:sz w:val="22"/>
          <w:szCs w:val="22"/>
        </w:rPr>
        <w:t>If you</w:t>
      </w:r>
      <w:r w:rsidR="009424CD">
        <w:rPr>
          <w:color w:val="auto"/>
          <w:sz w:val="22"/>
          <w:szCs w:val="22"/>
        </w:rPr>
        <w:t xml:space="preserve"> have not previously completed the SPACECAT as part of the national fielding,</w:t>
      </w:r>
      <w:r w:rsidRPr="007C037C">
        <w:rPr>
          <w:color w:val="auto"/>
          <w:sz w:val="22"/>
          <w:szCs w:val="22"/>
        </w:rPr>
        <w:t xml:space="preserve"> p</w:t>
      </w:r>
      <w:r w:rsidRPr="007C037C" w:rsidR="001406B2">
        <w:rPr>
          <w:color w:val="auto"/>
          <w:sz w:val="22"/>
          <w:szCs w:val="22"/>
        </w:rPr>
        <w:t xml:space="preserve">lease </w:t>
      </w:r>
      <w:r w:rsidR="009424CD">
        <w:rPr>
          <w:color w:val="auto"/>
          <w:sz w:val="22"/>
          <w:szCs w:val="22"/>
        </w:rPr>
        <w:t xml:space="preserve">contact </w:t>
      </w:r>
      <w:r w:rsidRPr="007C037C" w:rsidR="00AD07C4">
        <w:rPr>
          <w:color w:val="auto"/>
          <w:sz w:val="22"/>
          <w:szCs w:val="22"/>
        </w:rPr>
        <w:t xml:space="preserve">the Injury and Violence Prevention Team at </w:t>
      </w:r>
      <w:hyperlink r:id="rId16">
        <w:r w:rsidRPr="007C037C" w:rsidR="00AD07C4">
          <w:rPr>
            <w:rStyle w:val="Hyperlink"/>
            <w:color w:val="auto"/>
            <w:sz w:val="22"/>
            <w:szCs w:val="22"/>
          </w:rPr>
          <w:t>IVP@naccho.org</w:t>
        </w:r>
      </w:hyperlink>
      <w:r w:rsidRPr="007C037C" w:rsidR="00AD07C4">
        <w:rPr>
          <w:color w:val="auto"/>
          <w:sz w:val="22"/>
          <w:szCs w:val="22"/>
        </w:rPr>
        <w:t xml:space="preserve"> </w:t>
      </w:r>
      <w:r w:rsidR="009424CD">
        <w:rPr>
          <w:color w:val="auto"/>
          <w:sz w:val="22"/>
          <w:szCs w:val="22"/>
        </w:rPr>
        <w:t>and we will provide you with a</w:t>
      </w:r>
      <w:r w:rsidR="007F7C8B">
        <w:rPr>
          <w:color w:val="auto"/>
          <w:sz w:val="22"/>
          <w:szCs w:val="22"/>
        </w:rPr>
        <w:t xml:space="preserve"> hyperlink to complete the tool</w:t>
      </w:r>
      <w:r w:rsidRPr="007C037C" w:rsidR="00AD07C4">
        <w:rPr>
          <w:color w:val="auto"/>
          <w:sz w:val="22"/>
          <w:szCs w:val="22"/>
        </w:rPr>
        <w:t xml:space="preserve">.  </w:t>
      </w:r>
    </w:p>
    <w:p w:rsidRPr="00911AAF" w:rsidR="00911AAF" w:rsidP="00AD046B" w:rsidRDefault="3C4929E5" w14:paraId="11F1D969" w14:textId="72DA0AE1">
      <w:pPr>
        <w:pStyle w:val="ListParagraph"/>
        <w:numPr>
          <w:ilvl w:val="0"/>
          <w:numId w:val="32"/>
        </w:numPr>
        <w:spacing w:after="160" w:line="259" w:lineRule="auto"/>
      </w:pPr>
      <w:r w:rsidRPr="1EE1375A">
        <w:rPr>
          <w:b/>
          <w:bCs/>
        </w:rPr>
        <w:t>Brief Narrative</w:t>
      </w:r>
      <w:r w:rsidR="00B02ED2">
        <w:rPr>
          <w:b/>
          <w:bCs/>
        </w:rPr>
        <w:t xml:space="preserve"> (</w:t>
      </w:r>
      <w:r w:rsidR="00020A4A">
        <w:rPr>
          <w:b/>
          <w:bCs/>
        </w:rPr>
        <w:t>70%</w:t>
      </w:r>
      <w:r w:rsidR="00B02ED2">
        <w:rPr>
          <w:b/>
          <w:bCs/>
        </w:rPr>
        <w:t>)</w:t>
      </w:r>
    </w:p>
    <w:p w:rsidRPr="00D27C3E" w:rsidR="00911AAF" w:rsidP="00911AAF" w:rsidRDefault="3C4929E5" w14:paraId="4EC5F4DB" w14:textId="3EE0E59B">
      <w:pPr>
        <w:pStyle w:val="ListParagraph"/>
        <w:numPr>
          <w:ilvl w:val="1"/>
          <w:numId w:val="32"/>
        </w:numPr>
        <w:spacing w:after="160" w:line="259" w:lineRule="auto"/>
      </w:pPr>
      <w:r>
        <w:t>Statement of need and impact of C</w:t>
      </w:r>
      <w:r w:rsidR="3F4F979E">
        <w:t>OVID</w:t>
      </w:r>
      <w:r>
        <w:t>-19</w:t>
      </w:r>
      <w:r w:rsidR="00B02ED2">
        <w:t xml:space="preserve"> (</w:t>
      </w:r>
      <w:r w:rsidR="009479E4">
        <w:t xml:space="preserve">500 </w:t>
      </w:r>
      <w:r w:rsidR="00B02ED2">
        <w:t>word limit</w:t>
      </w:r>
      <w:r w:rsidR="5852618E">
        <w:t>; 40%</w:t>
      </w:r>
      <w:r w:rsidR="00B02ED2">
        <w:t>)</w:t>
      </w:r>
      <w:r w:rsidRPr="790F280D">
        <w:rPr>
          <w:b/>
          <w:bCs/>
        </w:rPr>
        <w:t>:</w:t>
      </w:r>
    </w:p>
    <w:p w:rsidRPr="00C44C20" w:rsidR="00D27C3E" w:rsidP="001D0657" w:rsidRDefault="003A1CBC" w14:paraId="32071785" w14:textId="44EB0B37">
      <w:pPr>
        <w:pStyle w:val="ListParagraph"/>
        <w:numPr>
          <w:ilvl w:val="2"/>
          <w:numId w:val="32"/>
        </w:numPr>
        <w:spacing w:after="160" w:line="259" w:lineRule="auto"/>
      </w:pPr>
      <w:r>
        <w:t>Describe the</w:t>
      </w:r>
      <w:r w:rsidR="00E136D2">
        <w:t xml:space="preserve"> jurisdiction you serve and provide information about the burden of suicide, overdose, and ACEs in your community. </w:t>
      </w:r>
    </w:p>
    <w:p w:rsidRPr="00C44C20" w:rsidR="007D276A" w:rsidP="001D0657" w:rsidRDefault="007D276A" w14:paraId="09FC5502" w14:textId="132B3AD9">
      <w:pPr>
        <w:pStyle w:val="ListParagraph"/>
        <w:numPr>
          <w:ilvl w:val="2"/>
          <w:numId w:val="32"/>
        </w:numPr>
        <w:spacing w:after="160" w:line="259" w:lineRule="auto"/>
      </w:pPr>
      <w:r w:rsidRPr="00C44C20">
        <w:t>Describe the challenges or concerns of your health department or jurisdiction</w:t>
      </w:r>
      <w:r w:rsidR="004E2EEC">
        <w:t xml:space="preserve"> is experiencing related to</w:t>
      </w:r>
      <w:r w:rsidRPr="00C44C20">
        <w:t xml:space="preserve"> addressing suicide, overdose, and ACEs prevention during </w:t>
      </w:r>
      <w:r w:rsidR="00FF4EDE">
        <w:t xml:space="preserve">the </w:t>
      </w:r>
      <w:r w:rsidRPr="00C44C20">
        <w:t>COVID-19</w:t>
      </w:r>
      <w:r w:rsidR="00FF4EDE">
        <w:t xml:space="preserve"> pandemic</w:t>
      </w:r>
      <w:r w:rsidRPr="00C44C20">
        <w:t>.</w:t>
      </w:r>
    </w:p>
    <w:p w:rsidRPr="00BF4D2B" w:rsidR="00D27C3E" w:rsidP="00911AAF" w:rsidRDefault="00D27C3E" w14:paraId="7D934D65" w14:textId="02EFCE82">
      <w:pPr>
        <w:pStyle w:val="ListParagraph"/>
        <w:numPr>
          <w:ilvl w:val="1"/>
          <w:numId w:val="32"/>
        </w:numPr>
        <w:spacing w:after="160" w:line="259" w:lineRule="auto"/>
      </w:pPr>
      <w:r>
        <w:t>Current work</w:t>
      </w:r>
      <w:r w:rsidR="00B02ED2">
        <w:t xml:space="preserve"> (</w:t>
      </w:r>
      <w:r w:rsidR="009479E4">
        <w:t xml:space="preserve">500 </w:t>
      </w:r>
      <w:r w:rsidR="00B02ED2">
        <w:t>word limit</w:t>
      </w:r>
      <w:r w:rsidR="1CA1F068">
        <w:t>; 15%</w:t>
      </w:r>
      <w:r w:rsidR="00B02ED2">
        <w:t>)</w:t>
      </w:r>
      <w:r w:rsidR="00303159">
        <w:t>:</w:t>
      </w:r>
    </w:p>
    <w:p w:rsidRPr="00BF4D2B" w:rsidR="007D276A" w:rsidP="001D0657" w:rsidRDefault="007D276A" w14:paraId="09EB69FA" w14:textId="6EB607C2">
      <w:pPr>
        <w:pStyle w:val="ListParagraph"/>
        <w:numPr>
          <w:ilvl w:val="2"/>
          <w:numId w:val="32"/>
        </w:numPr>
        <w:spacing w:after="160" w:line="259" w:lineRule="auto"/>
        <w:rPr>
          <w:rFonts w:cstheme="minorHAnsi"/>
        </w:rPr>
      </w:pPr>
      <w:r w:rsidRPr="00BF4D2B">
        <w:rPr>
          <w:rFonts w:cstheme="minorHAnsi"/>
        </w:rPr>
        <w:t xml:space="preserve">Describe the programs and services </w:t>
      </w:r>
      <w:r w:rsidRPr="00BF4D2B" w:rsidR="000450FB">
        <w:rPr>
          <w:rFonts w:cstheme="minorHAnsi"/>
        </w:rPr>
        <w:t xml:space="preserve">your LHD is </w:t>
      </w:r>
      <w:r w:rsidRPr="00BF4D2B">
        <w:rPr>
          <w:rFonts w:cstheme="minorHAnsi"/>
        </w:rPr>
        <w:t>currently developing or offering related to suicide, overdose, and ACEs prevention.</w:t>
      </w:r>
    </w:p>
    <w:p w:rsidRPr="00BF4D2B" w:rsidR="005C6CB0" w:rsidP="790F280D" w:rsidRDefault="00D27C3E" w14:paraId="4F6C67AA" w14:textId="28FC88E5">
      <w:pPr>
        <w:pStyle w:val="ListParagraph"/>
        <w:numPr>
          <w:ilvl w:val="1"/>
          <w:numId w:val="32"/>
        </w:numPr>
        <w:spacing w:after="160" w:line="259" w:lineRule="auto"/>
      </w:pPr>
      <w:r w:rsidRPr="790F280D">
        <w:t xml:space="preserve">Reflection </w:t>
      </w:r>
      <w:r w:rsidRPr="790F280D" w:rsidR="005C6CB0">
        <w:t xml:space="preserve">on </w:t>
      </w:r>
      <w:r w:rsidRPr="790F280D">
        <w:t>SPACECAT results</w:t>
      </w:r>
      <w:r w:rsidRPr="790F280D" w:rsidR="5A98CE79">
        <w:t>; 15%</w:t>
      </w:r>
      <w:r w:rsidRPr="790F280D" w:rsidR="000F198F">
        <w:t xml:space="preserve">: </w:t>
      </w:r>
    </w:p>
    <w:p w:rsidRPr="00BF4D2B" w:rsidR="00566589" w:rsidP="004C4053" w:rsidRDefault="008431A7" w14:paraId="10D62917" w14:textId="225D3C19">
      <w:pPr>
        <w:pStyle w:val="ListParagraph"/>
        <w:numPr>
          <w:ilvl w:val="2"/>
          <w:numId w:val="32"/>
        </w:numPr>
        <w:spacing w:after="120" w:line="259" w:lineRule="auto"/>
        <w:contextualSpacing w:val="0"/>
        <w:rPr>
          <w:rFonts w:cstheme="minorHAnsi"/>
        </w:rPr>
      </w:pPr>
      <w:r>
        <w:rPr>
          <w:rFonts w:cstheme="minorHAnsi"/>
        </w:rPr>
        <w:t xml:space="preserve">There are eight domains of capacity identified within the subsections of the SPACECAT. </w:t>
      </w:r>
      <w:r w:rsidRPr="00BF4D2B" w:rsidR="00566589">
        <w:rPr>
          <w:rFonts w:cstheme="minorHAnsi"/>
        </w:rPr>
        <w:t xml:space="preserve">Please identify up to three key SPACECAT domains your LHD would like to begin addressing with this funding: </w:t>
      </w:r>
    </w:p>
    <w:p w:rsidRPr="004C4053" w:rsidR="00566589" w:rsidP="004C4053" w:rsidRDefault="00566589" w14:paraId="5B00AD93" w14:textId="28FECE1C">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Networked Partnerships</w:t>
      </w:r>
      <w:r w:rsidR="008431A7">
        <w:rPr>
          <w:rFonts w:eastAsia="Times New Roman" w:cstheme="minorHAnsi"/>
        </w:rPr>
        <w:t xml:space="preserve"> (Infrastructure Capacity)</w:t>
      </w:r>
    </w:p>
    <w:p w:rsidRPr="004C4053" w:rsidR="00566589" w:rsidP="004C4053" w:rsidRDefault="00566589" w14:paraId="440FB7B2" w14:textId="42787B1D">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Multilevel Leadership</w:t>
      </w:r>
      <w:r w:rsidR="008431A7">
        <w:rPr>
          <w:rFonts w:eastAsia="Times New Roman" w:cstheme="minorHAnsi"/>
        </w:rPr>
        <w:t xml:space="preserve"> (Infrastructure Capacity)</w:t>
      </w:r>
    </w:p>
    <w:p w:rsidRPr="004C4053" w:rsidR="00566589" w:rsidP="004C4053" w:rsidRDefault="00566589" w14:paraId="2A06F298" w14:textId="21C63FC4">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Managed Resources</w:t>
      </w:r>
      <w:r w:rsidR="008431A7">
        <w:rPr>
          <w:rFonts w:eastAsia="Times New Roman" w:cstheme="minorHAnsi"/>
        </w:rPr>
        <w:t xml:space="preserve"> (Infrastructure Capacity)</w:t>
      </w:r>
    </w:p>
    <w:p w:rsidRPr="004C4053" w:rsidR="00566589" w:rsidP="004C4053" w:rsidRDefault="00566589" w14:paraId="67957D45" w14:textId="4F9A628F">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Data and Surveillance</w:t>
      </w:r>
      <w:r w:rsidR="008431A7">
        <w:rPr>
          <w:rFonts w:eastAsia="Times New Roman" w:cstheme="minorHAnsi"/>
        </w:rPr>
        <w:t xml:space="preserve"> (Infrastructure Capacity)</w:t>
      </w:r>
    </w:p>
    <w:p w:rsidRPr="004C4053" w:rsidR="00566589" w:rsidP="004C4053" w:rsidRDefault="00566589" w14:paraId="6CF3A7EA" w14:textId="614DDDF9">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Shared Planning and Strategic Plans</w:t>
      </w:r>
      <w:r w:rsidR="008431A7">
        <w:rPr>
          <w:rFonts w:eastAsia="Times New Roman" w:cstheme="minorHAnsi"/>
        </w:rPr>
        <w:t xml:space="preserve"> (Infrastructure Capacity)</w:t>
      </w:r>
    </w:p>
    <w:p w:rsidRPr="004C4053" w:rsidR="00566589" w:rsidP="004C4053" w:rsidRDefault="00566589" w14:paraId="39A21F9F" w14:textId="59383C68">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Evidence Based Strategies for Suicide, Overdose, and ACEs Prevention</w:t>
      </w:r>
      <w:r w:rsidR="008431A7">
        <w:rPr>
          <w:rFonts w:eastAsia="Times New Roman" w:cstheme="minorHAnsi"/>
        </w:rPr>
        <w:t xml:space="preserve"> (Topical Capacity)</w:t>
      </w:r>
    </w:p>
    <w:p w:rsidRPr="004C4053" w:rsidR="00566589" w:rsidP="004C4053" w:rsidRDefault="00566589" w14:paraId="1AE0DBEE" w14:textId="364C3B36">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Health Disparities</w:t>
      </w:r>
      <w:r w:rsidR="008431A7">
        <w:rPr>
          <w:rFonts w:eastAsia="Times New Roman" w:cstheme="minorHAnsi"/>
        </w:rPr>
        <w:t xml:space="preserve"> (Topical Capacity)</w:t>
      </w:r>
    </w:p>
    <w:p w:rsidRPr="004C4053" w:rsidR="00566589" w:rsidP="004C4053" w:rsidRDefault="00566589" w14:paraId="36410F98" w14:textId="2BE313D7">
      <w:pPr>
        <w:pStyle w:val="ListParagraph"/>
        <w:numPr>
          <w:ilvl w:val="5"/>
          <w:numId w:val="51"/>
        </w:numPr>
        <w:spacing w:before="100" w:beforeAutospacing="1" w:after="100" w:afterAutospacing="1" w:line="240" w:lineRule="auto"/>
        <w:ind w:left="3240"/>
        <w:rPr>
          <w:rFonts w:eastAsia="Times New Roman" w:cstheme="minorHAnsi"/>
        </w:rPr>
      </w:pPr>
      <w:r w:rsidRPr="004C4053">
        <w:rPr>
          <w:rFonts w:eastAsia="Times New Roman" w:cstheme="minorHAnsi"/>
        </w:rPr>
        <w:t>Workforce Capacity</w:t>
      </w:r>
      <w:r w:rsidR="008431A7">
        <w:rPr>
          <w:rFonts w:eastAsia="Times New Roman" w:cstheme="minorHAnsi"/>
        </w:rPr>
        <w:t xml:space="preserve"> (Topical Capacity)</w:t>
      </w:r>
    </w:p>
    <w:p w:rsidRPr="002B241E" w:rsidR="00DB5B7C" w:rsidP="004C4053" w:rsidRDefault="00FA1904" w14:paraId="278E441C" w14:textId="713B2D09">
      <w:pPr>
        <w:pStyle w:val="ListParagraph"/>
        <w:numPr>
          <w:ilvl w:val="2"/>
          <w:numId w:val="32"/>
        </w:numPr>
        <w:spacing w:after="120" w:line="259" w:lineRule="auto"/>
        <w:contextualSpacing w:val="0"/>
      </w:pPr>
      <w:r w:rsidRPr="60EE50F1">
        <w:t xml:space="preserve">What </w:t>
      </w:r>
      <w:r w:rsidRPr="60EE50F1" w:rsidR="00FD3AFB">
        <w:t xml:space="preserve">new insights </w:t>
      </w:r>
      <w:r w:rsidRPr="60EE50F1" w:rsidR="00D4470C">
        <w:t>have you gained</w:t>
      </w:r>
      <w:r w:rsidRPr="60EE50F1" w:rsidR="00D949F0">
        <w:t xml:space="preserve"> </w:t>
      </w:r>
      <w:r w:rsidRPr="60EE50F1" w:rsidR="006C3AEA">
        <w:t>from completing the SPACECAT</w:t>
      </w:r>
      <w:r w:rsidRPr="60EE50F1" w:rsidR="00D4470C">
        <w:t xml:space="preserve"> </w:t>
      </w:r>
      <w:r w:rsidRPr="60EE50F1" w:rsidR="00132CF8">
        <w:t>and how does this change how you</w:t>
      </w:r>
      <w:r w:rsidRPr="60EE50F1" w:rsidR="00B33004">
        <w:t xml:space="preserve">r LHD </w:t>
      </w:r>
      <w:r w:rsidRPr="60EE50F1" w:rsidR="00132CF8">
        <w:t>plan</w:t>
      </w:r>
      <w:r w:rsidRPr="60EE50F1" w:rsidR="00B33004">
        <w:t>s</w:t>
      </w:r>
      <w:r w:rsidRPr="60EE50F1" w:rsidR="00132CF8">
        <w:t xml:space="preserve"> to address</w:t>
      </w:r>
      <w:r w:rsidRPr="60EE50F1" w:rsidR="00887C6F">
        <w:t xml:space="preserve"> the intersection of </w:t>
      </w:r>
      <w:r w:rsidRPr="60EE50F1" w:rsidR="00D4470C">
        <w:t>suicide, overdose, and ACEs</w:t>
      </w:r>
      <w:r w:rsidRPr="60EE50F1" w:rsidR="00887C6F">
        <w:t xml:space="preserve"> moving forward</w:t>
      </w:r>
      <w:r w:rsidRPr="60EE50F1" w:rsidR="005968C0">
        <w:t>?</w:t>
      </w:r>
      <w:r w:rsidRPr="60EE50F1" w:rsidR="00B02ED2">
        <w:t xml:space="preserve"> </w:t>
      </w:r>
      <w:r w:rsidR="00B02ED2">
        <w:t>(</w:t>
      </w:r>
      <w:r w:rsidR="005943BB">
        <w:t xml:space="preserve">500 </w:t>
      </w:r>
      <w:r w:rsidR="00B02ED2">
        <w:t>word limit)</w:t>
      </w:r>
    </w:p>
    <w:p w:rsidR="002B241E" w:rsidP="002B241E" w:rsidRDefault="002B241E" w14:paraId="51E0619E" w14:textId="77777777">
      <w:pPr>
        <w:spacing w:after="120" w:line="259" w:lineRule="auto"/>
        <w:rPr>
          <w:rFonts w:cstheme="minorHAnsi"/>
        </w:rPr>
      </w:pPr>
    </w:p>
    <w:p w:rsidR="00931D13" w:rsidP="00EB4AC1" w:rsidRDefault="6C6E6F06" w14:paraId="28CA6FDC" w14:textId="18711304">
      <w:pPr>
        <w:pStyle w:val="ListParagraph"/>
        <w:numPr>
          <w:ilvl w:val="0"/>
          <w:numId w:val="32"/>
        </w:numPr>
        <w:spacing w:after="120" w:line="259" w:lineRule="auto"/>
        <w:contextualSpacing w:val="0"/>
      </w:pPr>
      <w:bookmarkStart w:name="_Hlk92273291" w:id="1"/>
      <w:r w:rsidRPr="60EE50F1">
        <w:rPr>
          <w:b/>
        </w:rPr>
        <w:t xml:space="preserve">Jurisdictional </w:t>
      </w:r>
      <w:r w:rsidRPr="60EE50F1" w:rsidR="009F348F">
        <w:rPr>
          <w:b/>
        </w:rPr>
        <w:t>Characteristics</w:t>
      </w:r>
      <w:bookmarkEnd w:id="1"/>
      <w:r w:rsidRPr="60EE50F1" w:rsidR="00B02ED2">
        <w:rPr>
          <w:b/>
        </w:rPr>
        <w:t xml:space="preserve"> (30</w:t>
      </w:r>
      <w:r w:rsidR="00020A4A">
        <w:rPr>
          <w:b/>
        </w:rPr>
        <w:t>%</w:t>
      </w:r>
      <w:r w:rsidRPr="60EE50F1" w:rsidR="00B02ED2">
        <w:rPr>
          <w:b/>
        </w:rPr>
        <w:t>)</w:t>
      </w:r>
      <w:r w:rsidRPr="60EE50F1" w:rsidR="009F348F">
        <w:rPr>
          <w:b/>
        </w:rPr>
        <w:t>:</w:t>
      </w:r>
      <w:r w:rsidRPr="1EE1375A" w:rsidR="009F348F">
        <w:rPr>
          <w:b/>
          <w:bCs/>
        </w:rPr>
        <w:t xml:space="preserve"> </w:t>
      </w:r>
      <w:r w:rsidRPr="1EE1375A" w:rsidR="5F180CC8">
        <w:rPr>
          <w:rFonts w:ascii="Calibri" w:hAnsi="Calibri" w:eastAsia="Calibri" w:cs="Calibri"/>
          <w:color w:val="000000" w:themeColor="text1"/>
        </w:rPr>
        <w:t>Please</w:t>
      </w:r>
      <w:r w:rsidRPr="1EE1375A" w:rsidR="5F180CC8">
        <w:rPr>
          <w:rFonts w:ascii="Calibri" w:hAnsi="Calibri" w:eastAsia="Calibri" w:cs="Calibri"/>
          <w:b/>
          <w:bCs/>
          <w:color w:val="000000" w:themeColor="text1"/>
        </w:rPr>
        <w:t xml:space="preserve"> </w:t>
      </w:r>
      <w:r w:rsidRPr="1EE1375A" w:rsidR="5F180CC8">
        <w:rPr>
          <w:rFonts w:ascii="Calibri" w:hAnsi="Calibri" w:eastAsia="Calibri" w:cs="Calibri"/>
          <w:color w:val="000000" w:themeColor="text1"/>
        </w:rPr>
        <w:t>provide a brief overview of the jurisdiction your health department serves</w:t>
      </w:r>
      <w:r w:rsidR="00593751">
        <w:rPr>
          <w:rFonts w:ascii="Calibri" w:hAnsi="Calibri" w:eastAsia="Calibri" w:cs="Calibri"/>
          <w:color w:val="000000" w:themeColor="text1"/>
        </w:rPr>
        <w:t xml:space="preserve"> by selecting the appropriate option for each jurisdictional characteristic</w:t>
      </w:r>
      <w:r w:rsidRPr="1EE1375A" w:rsidR="5F180CC8">
        <w:rPr>
          <w:rFonts w:ascii="Calibri" w:hAnsi="Calibri" w:eastAsia="Calibri" w:cs="Calibri"/>
          <w:color w:val="000000" w:themeColor="text1"/>
        </w:rPr>
        <w:t>.</w:t>
      </w:r>
      <w:r w:rsidRPr="1EE1375A" w:rsidR="5F180CC8">
        <w:t xml:space="preserve"> </w:t>
      </w:r>
    </w:p>
    <w:p w:rsidR="00515E8A" w:rsidP="00515E8A" w:rsidRDefault="00515E8A" w14:paraId="52E3BADA" w14:textId="77777777">
      <w:pPr>
        <w:pStyle w:val="ListParagraph"/>
        <w:spacing w:after="120" w:line="259" w:lineRule="auto"/>
        <w:contextualSpacing w:val="0"/>
      </w:pPr>
    </w:p>
    <w:tbl>
      <w:tblPr>
        <w:tblStyle w:val="TableGrid"/>
        <w:tblW w:w="0" w:type="auto"/>
        <w:tblInd w:w="715" w:type="dxa"/>
        <w:tblLook w:val="04A0" w:firstRow="1" w:lastRow="0" w:firstColumn="1" w:lastColumn="0" w:noHBand="0" w:noVBand="1"/>
      </w:tblPr>
      <w:tblGrid>
        <w:gridCol w:w="2700"/>
        <w:gridCol w:w="5935"/>
      </w:tblGrid>
      <w:tr w:rsidR="00931D13" w:rsidTr="001D0657" w14:paraId="193E29D2" w14:textId="77777777">
        <w:tc>
          <w:tcPr>
            <w:tcW w:w="2700" w:type="dxa"/>
          </w:tcPr>
          <w:p w:rsidRPr="004F2CE2" w:rsidR="00931D13" w:rsidP="00C4459D" w:rsidRDefault="003C6CA2" w14:paraId="5F3CFE40" w14:textId="3FEC7731">
            <w:pPr>
              <w:spacing w:after="120" w:line="259" w:lineRule="auto"/>
              <w:rPr>
                <w:b/>
                <w:bCs/>
              </w:rPr>
            </w:pPr>
            <w:r w:rsidRPr="004F2CE2">
              <w:rPr>
                <w:b/>
                <w:bCs/>
              </w:rPr>
              <w:t>Jurisdiction served</w:t>
            </w:r>
          </w:p>
        </w:tc>
        <w:tc>
          <w:tcPr>
            <w:tcW w:w="5935" w:type="dxa"/>
          </w:tcPr>
          <w:p w:rsidR="00931D13" w:rsidP="007B5740" w:rsidRDefault="002A6899" w14:paraId="4FA01EBE" w14:textId="77777777">
            <w:pPr>
              <w:pStyle w:val="ListParagraph"/>
              <w:numPr>
                <w:ilvl w:val="0"/>
                <w:numId w:val="49"/>
              </w:numPr>
              <w:spacing w:after="120" w:line="259" w:lineRule="auto"/>
            </w:pPr>
            <w:r>
              <w:t xml:space="preserve">City or town </w:t>
            </w:r>
          </w:p>
          <w:p w:rsidR="002A6899" w:rsidP="007B5740" w:rsidRDefault="002A6899" w14:paraId="5CA89B9E" w14:textId="77777777">
            <w:pPr>
              <w:pStyle w:val="ListParagraph"/>
              <w:numPr>
                <w:ilvl w:val="0"/>
                <w:numId w:val="49"/>
              </w:numPr>
              <w:spacing w:after="120" w:line="259" w:lineRule="auto"/>
            </w:pPr>
            <w:r>
              <w:t>County</w:t>
            </w:r>
          </w:p>
          <w:p w:rsidR="002A6899" w:rsidP="007B5740" w:rsidRDefault="002A6899" w14:paraId="7E634394" w14:textId="77777777">
            <w:pPr>
              <w:pStyle w:val="ListParagraph"/>
              <w:numPr>
                <w:ilvl w:val="0"/>
                <w:numId w:val="49"/>
              </w:numPr>
              <w:spacing w:after="120" w:line="259" w:lineRule="auto"/>
            </w:pPr>
            <w:r>
              <w:t>Multi-county</w:t>
            </w:r>
          </w:p>
          <w:p w:rsidR="002A6899" w:rsidP="004F2CE2" w:rsidRDefault="002A6899" w14:paraId="41F2C361" w14:textId="10969C3E">
            <w:pPr>
              <w:pStyle w:val="ListParagraph"/>
              <w:numPr>
                <w:ilvl w:val="0"/>
                <w:numId w:val="49"/>
              </w:numPr>
              <w:spacing w:after="120" w:line="259" w:lineRule="auto"/>
            </w:pPr>
            <w:r>
              <w:t>Other</w:t>
            </w:r>
          </w:p>
        </w:tc>
      </w:tr>
      <w:tr w:rsidR="00931D13" w:rsidTr="001D0657" w14:paraId="749001FD" w14:textId="77777777">
        <w:tc>
          <w:tcPr>
            <w:tcW w:w="2700" w:type="dxa"/>
          </w:tcPr>
          <w:p w:rsidRPr="004F2CE2" w:rsidR="00931D13" w:rsidP="00C4459D" w:rsidRDefault="003C6CA2" w14:paraId="00D71F01" w14:textId="621A0F01">
            <w:pPr>
              <w:spacing w:after="120" w:line="259" w:lineRule="auto"/>
              <w:rPr>
                <w:b/>
                <w:bCs/>
              </w:rPr>
            </w:pPr>
            <w:r w:rsidRPr="004F2CE2">
              <w:rPr>
                <w:b/>
                <w:bCs/>
              </w:rPr>
              <w:t>Size of population served</w:t>
            </w:r>
          </w:p>
        </w:tc>
        <w:tc>
          <w:tcPr>
            <w:tcW w:w="5935" w:type="dxa"/>
          </w:tcPr>
          <w:p w:rsidR="00931D13" w:rsidP="002A6899" w:rsidRDefault="002A6899" w14:paraId="1FBEBB94" w14:textId="77777777">
            <w:pPr>
              <w:pStyle w:val="ListParagraph"/>
              <w:numPr>
                <w:ilvl w:val="0"/>
                <w:numId w:val="49"/>
              </w:numPr>
              <w:spacing w:after="120" w:line="259" w:lineRule="auto"/>
            </w:pPr>
            <w:r>
              <w:t>Small: &lt;</w:t>
            </w:r>
            <w:r w:rsidR="008D22EA">
              <w:t>50,000</w:t>
            </w:r>
          </w:p>
          <w:p w:rsidR="008D22EA" w:rsidP="002A6899" w:rsidRDefault="008D22EA" w14:paraId="1BD551EB" w14:textId="77777777">
            <w:pPr>
              <w:pStyle w:val="ListParagraph"/>
              <w:numPr>
                <w:ilvl w:val="0"/>
                <w:numId w:val="49"/>
              </w:numPr>
              <w:spacing w:after="120" w:line="259" w:lineRule="auto"/>
            </w:pPr>
            <w:r>
              <w:t>Medium: 50,000-500,000</w:t>
            </w:r>
          </w:p>
          <w:p w:rsidR="008D22EA" w:rsidP="004F2CE2" w:rsidRDefault="008D22EA" w14:paraId="57CD284D" w14:textId="7F959089">
            <w:pPr>
              <w:pStyle w:val="ListParagraph"/>
              <w:numPr>
                <w:ilvl w:val="0"/>
                <w:numId w:val="49"/>
              </w:numPr>
              <w:spacing w:after="120" w:line="259" w:lineRule="auto"/>
            </w:pPr>
            <w:r>
              <w:t>Large: 500,000+</w:t>
            </w:r>
          </w:p>
        </w:tc>
      </w:tr>
      <w:tr w:rsidR="00931D13" w:rsidTr="001D0657" w14:paraId="61FC3BD2" w14:textId="77777777">
        <w:tc>
          <w:tcPr>
            <w:tcW w:w="2700" w:type="dxa"/>
          </w:tcPr>
          <w:p w:rsidRPr="004F2CE2" w:rsidR="00931D13" w:rsidP="00C4459D" w:rsidRDefault="003C6CA2" w14:paraId="53A9416B" w14:textId="32EC42C1">
            <w:pPr>
              <w:spacing w:after="120" w:line="259" w:lineRule="auto"/>
              <w:rPr>
                <w:b/>
                <w:bCs/>
              </w:rPr>
            </w:pPr>
            <w:r w:rsidRPr="004F2CE2">
              <w:rPr>
                <w:b/>
                <w:bCs/>
              </w:rPr>
              <w:t>Geographic region</w:t>
            </w:r>
          </w:p>
        </w:tc>
        <w:tc>
          <w:tcPr>
            <w:tcW w:w="5935" w:type="dxa"/>
          </w:tcPr>
          <w:p w:rsidR="00931D13" w:rsidP="00D04C51" w:rsidRDefault="00D04C51" w14:paraId="651700ED" w14:textId="77777777">
            <w:pPr>
              <w:pStyle w:val="ListParagraph"/>
              <w:numPr>
                <w:ilvl w:val="0"/>
                <w:numId w:val="49"/>
              </w:numPr>
              <w:spacing w:after="120" w:line="259" w:lineRule="auto"/>
            </w:pPr>
            <w:r>
              <w:t>New England</w:t>
            </w:r>
          </w:p>
          <w:p w:rsidR="00D04C51" w:rsidP="00D04C51" w:rsidRDefault="00D04C51" w14:paraId="64BA4E05" w14:textId="77777777">
            <w:pPr>
              <w:pStyle w:val="ListParagraph"/>
              <w:numPr>
                <w:ilvl w:val="0"/>
                <w:numId w:val="49"/>
              </w:numPr>
              <w:spacing w:after="120" w:line="259" w:lineRule="auto"/>
            </w:pPr>
            <w:r>
              <w:t>Mid-Atlantic</w:t>
            </w:r>
          </w:p>
          <w:p w:rsidR="00D04C51" w:rsidP="00D04C51" w:rsidRDefault="00D04C51" w14:paraId="6B6E379F" w14:textId="77777777">
            <w:pPr>
              <w:pStyle w:val="ListParagraph"/>
              <w:numPr>
                <w:ilvl w:val="0"/>
                <w:numId w:val="49"/>
              </w:numPr>
              <w:spacing w:after="120" w:line="259" w:lineRule="auto"/>
            </w:pPr>
            <w:r>
              <w:t xml:space="preserve">East North Central </w:t>
            </w:r>
          </w:p>
          <w:p w:rsidR="00D04C51" w:rsidP="00D04C51" w:rsidRDefault="00D04C51" w14:paraId="0182FA00" w14:textId="77777777">
            <w:pPr>
              <w:pStyle w:val="ListParagraph"/>
              <w:numPr>
                <w:ilvl w:val="0"/>
                <w:numId w:val="49"/>
              </w:numPr>
              <w:spacing w:after="120" w:line="259" w:lineRule="auto"/>
            </w:pPr>
            <w:r>
              <w:t>West North Central</w:t>
            </w:r>
          </w:p>
          <w:p w:rsidR="00D04C51" w:rsidP="00D04C51" w:rsidRDefault="00D04C51" w14:paraId="0649267A" w14:textId="77777777">
            <w:pPr>
              <w:pStyle w:val="ListParagraph"/>
              <w:numPr>
                <w:ilvl w:val="0"/>
                <w:numId w:val="49"/>
              </w:numPr>
              <w:spacing w:after="120" w:line="259" w:lineRule="auto"/>
            </w:pPr>
            <w:r>
              <w:t>South Atlantic</w:t>
            </w:r>
          </w:p>
          <w:p w:rsidR="00D04C51" w:rsidP="00D04C51" w:rsidRDefault="00D04C51" w14:paraId="6DC5F311" w14:textId="77777777">
            <w:pPr>
              <w:pStyle w:val="ListParagraph"/>
              <w:numPr>
                <w:ilvl w:val="0"/>
                <w:numId w:val="49"/>
              </w:numPr>
              <w:spacing w:after="120" w:line="259" w:lineRule="auto"/>
            </w:pPr>
            <w:r>
              <w:t>East</w:t>
            </w:r>
            <w:r w:rsidR="004C7885">
              <w:t xml:space="preserve"> South Central</w:t>
            </w:r>
          </w:p>
          <w:p w:rsidR="004C7885" w:rsidP="00D04C51" w:rsidRDefault="004C7885" w14:paraId="0273420A" w14:textId="77777777">
            <w:pPr>
              <w:pStyle w:val="ListParagraph"/>
              <w:numPr>
                <w:ilvl w:val="0"/>
                <w:numId w:val="49"/>
              </w:numPr>
              <w:spacing w:after="120" w:line="259" w:lineRule="auto"/>
            </w:pPr>
            <w:r>
              <w:t xml:space="preserve">West South Central </w:t>
            </w:r>
          </w:p>
          <w:p w:rsidR="004C7885" w:rsidP="004F2CE2" w:rsidRDefault="004C7885" w14:paraId="1F3F7F1D" w14:textId="45FC01A9">
            <w:pPr>
              <w:pStyle w:val="ListParagraph"/>
              <w:numPr>
                <w:ilvl w:val="0"/>
                <w:numId w:val="49"/>
              </w:numPr>
              <w:spacing w:after="120" w:line="259" w:lineRule="auto"/>
            </w:pPr>
            <w:r>
              <w:t>Mountain</w:t>
            </w:r>
          </w:p>
        </w:tc>
      </w:tr>
      <w:tr w:rsidR="00931D13" w:rsidTr="001D0657" w14:paraId="5C471155" w14:textId="77777777">
        <w:tc>
          <w:tcPr>
            <w:tcW w:w="2700" w:type="dxa"/>
          </w:tcPr>
          <w:p w:rsidRPr="004F2CE2" w:rsidR="00931D13" w:rsidP="00C4459D" w:rsidRDefault="003C6CA2" w14:paraId="248FE1A6" w14:textId="15F0EAA8">
            <w:pPr>
              <w:spacing w:after="120" w:line="259" w:lineRule="auto"/>
              <w:rPr>
                <w:b/>
                <w:bCs/>
              </w:rPr>
            </w:pPr>
            <w:r w:rsidRPr="004F2CE2">
              <w:rPr>
                <w:b/>
                <w:bCs/>
              </w:rPr>
              <w:t>Degree of urbanization</w:t>
            </w:r>
          </w:p>
        </w:tc>
        <w:tc>
          <w:tcPr>
            <w:tcW w:w="5935" w:type="dxa"/>
          </w:tcPr>
          <w:p w:rsidR="00931D13" w:rsidP="004C7885" w:rsidRDefault="004C7885" w14:paraId="556ACBD0" w14:textId="77777777">
            <w:pPr>
              <w:pStyle w:val="ListParagraph"/>
              <w:numPr>
                <w:ilvl w:val="0"/>
                <w:numId w:val="49"/>
              </w:numPr>
              <w:spacing w:after="120" w:line="259" w:lineRule="auto"/>
            </w:pPr>
            <w:r>
              <w:t>Urban</w:t>
            </w:r>
          </w:p>
          <w:p w:rsidR="004C7885" w:rsidP="004C7885" w:rsidRDefault="004C7885" w14:paraId="6C0BCB21" w14:textId="77777777">
            <w:pPr>
              <w:pStyle w:val="ListParagraph"/>
              <w:numPr>
                <w:ilvl w:val="0"/>
                <w:numId w:val="49"/>
              </w:numPr>
              <w:spacing w:after="120" w:line="259" w:lineRule="auto"/>
            </w:pPr>
            <w:r>
              <w:t>Suburban</w:t>
            </w:r>
          </w:p>
          <w:p w:rsidR="004C7885" w:rsidP="004F2CE2" w:rsidRDefault="004C7885" w14:paraId="3ED06888" w14:textId="00A5D5D1">
            <w:pPr>
              <w:pStyle w:val="ListParagraph"/>
              <w:numPr>
                <w:ilvl w:val="0"/>
                <w:numId w:val="49"/>
              </w:numPr>
              <w:spacing w:after="120" w:line="259" w:lineRule="auto"/>
            </w:pPr>
            <w:r>
              <w:t>Rural</w:t>
            </w:r>
          </w:p>
        </w:tc>
      </w:tr>
      <w:tr w:rsidR="00931D13" w:rsidTr="001D0657" w14:paraId="2B1169F4" w14:textId="77777777">
        <w:tc>
          <w:tcPr>
            <w:tcW w:w="2700" w:type="dxa"/>
          </w:tcPr>
          <w:p w:rsidRPr="004F2CE2" w:rsidR="00931D13" w:rsidP="00C4459D" w:rsidRDefault="003C6CA2" w14:paraId="2D70C13F" w14:textId="4B433CFB">
            <w:pPr>
              <w:spacing w:after="120" w:line="259" w:lineRule="auto"/>
              <w:rPr>
                <w:b/>
                <w:bCs/>
              </w:rPr>
            </w:pPr>
            <w:r w:rsidRPr="004F2CE2">
              <w:rPr>
                <w:b/>
                <w:bCs/>
              </w:rPr>
              <w:t>Type of LHD governance</w:t>
            </w:r>
          </w:p>
        </w:tc>
        <w:tc>
          <w:tcPr>
            <w:tcW w:w="5935" w:type="dxa"/>
          </w:tcPr>
          <w:p w:rsidR="00F42F6C" w:rsidP="001A4B0F" w:rsidRDefault="00F42F6C" w14:paraId="08362933" w14:textId="5A9E7C92">
            <w:pPr>
              <w:pStyle w:val="ListParagraph"/>
              <w:numPr>
                <w:ilvl w:val="0"/>
                <w:numId w:val="49"/>
              </w:numPr>
              <w:spacing w:after="120" w:line="259" w:lineRule="auto"/>
            </w:pPr>
            <w:r>
              <w:t>Local (</w:t>
            </w:r>
            <w:r w:rsidRPr="00C4459D">
              <w:rPr>
                <w:i/>
                <w:iCs/>
              </w:rPr>
              <w:t>LHD is unit of local government</w:t>
            </w:r>
            <w:r>
              <w:t>)</w:t>
            </w:r>
          </w:p>
          <w:p w:rsidR="00F42F6C" w:rsidP="001A4B0F" w:rsidRDefault="00F42F6C" w14:paraId="6E844343" w14:textId="15A09539">
            <w:pPr>
              <w:pStyle w:val="ListParagraph"/>
              <w:numPr>
                <w:ilvl w:val="0"/>
                <w:numId w:val="50"/>
              </w:numPr>
              <w:spacing w:after="120" w:line="259" w:lineRule="auto"/>
            </w:pPr>
            <w:r>
              <w:t>State (</w:t>
            </w:r>
            <w:r w:rsidRPr="00C4459D" w:rsidR="003C6CA2">
              <w:rPr>
                <w:i/>
                <w:iCs/>
              </w:rPr>
              <w:t>LHD is unit of state government</w:t>
            </w:r>
            <w:r w:rsidR="003C6CA2">
              <w:t>)</w:t>
            </w:r>
          </w:p>
          <w:p w:rsidR="003C6CA2" w:rsidP="00C4459D" w:rsidRDefault="003C6CA2" w14:paraId="59B25FC8" w14:textId="3A26C333">
            <w:pPr>
              <w:pStyle w:val="ListParagraph"/>
              <w:numPr>
                <w:ilvl w:val="0"/>
                <w:numId w:val="50"/>
              </w:numPr>
              <w:spacing w:after="120" w:line="259" w:lineRule="auto"/>
            </w:pPr>
            <w:r>
              <w:t>Shared (</w:t>
            </w:r>
            <w:r w:rsidRPr="004F2CE2">
              <w:rPr>
                <w:i/>
                <w:iCs/>
              </w:rPr>
              <w:t>LHD is governed by both state/local authorities</w:t>
            </w:r>
            <w:r>
              <w:t>)</w:t>
            </w:r>
          </w:p>
        </w:tc>
      </w:tr>
      <w:tr w:rsidR="00931D13" w:rsidTr="001D0657" w14:paraId="285DA670" w14:textId="77777777">
        <w:tc>
          <w:tcPr>
            <w:tcW w:w="2700" w:type="dxa"/>
          </w:tcPr>
          <w:p w:rsidRPr="004F2CE2" w:rsidR="00931D13" w:rsidP="00C4459D" w:rsidRDefault="00E61EF2" w14:paraId="561A7780" w14:textId="311F3002">
            <w:pPr>
              <w:spacing w:after="120" w:line="259" w:lineRule="auto"/>
              <w:rPr>
                <w:b/>
                <w:bCs/>
              </w:rPr>
            </w:pPr>
            <w:r w:rsidRPr="004F2CE2">
              <w:rPr>
                <w:b/>
                <w:bCs/>
              </w:rPr>
              <w:t>Number of full-time staff employed within LHD</w:t>
            </w:r>
          </w:p>
        </w:tc>
        <w:tc>
          <w:tcPr>
            <w:tcW w:w="5935" w:type="dxa"/>
          </w:tcPr>
          <w:p w:rsidR="00931D13" w:rsidP="003C6CA2" w:rsidRDefault="003C6CA2" w14:paraId="14165B7B" w14:textId="77777777">
            <w:pPr>
              <w:pStyle w:val="ListParagraph"/>
              <w:numPr>
                <w:ilvl w:val="0"/>
                <w:numId w:val="50"/>
              </w:numPr>
              <w:spacing w:after="120" w:line="259" w:lineRule="auto"/>
            </w:pPr>
            <w:r>
              <w:t>&lt;5</w:t>
            </w:r>
          </w:p>
          <w:p w:rsidR="003C6CA2" w:rsidP="003C6CA2" w:rsidRDefault="0042158C" w14:paraId="12732BD3" w14:textId="77777777">
            <w:pPr>
              <w:pStyle w:val="ListParagraph"/>
              <w:numPr>
                <w:ilvl w:val="0"/>
                <w:numId w:val="50"/>
              </w:numPr>
              <w:spacing w:after="120" w:line="259" w:lineRule="auto"/>
            </w:pPr>
            <w:r>
              <w:t>5-9.9</w:t>
            </w:r>
          </w:p>
          <w:p w:rsidR="0042158C" w:rsidP="003C6CA2" w:rsidRDefault="0042158C" w14:paraId="4277BF76" w14:textId="77777777">
            <w:pPr>
              <w:pStyle w:val="ListParagraph"/>
              <w:numPr>
                <w:ilvl w:val="0"/>
                <w:numId w:val="50"/>
              </w:numPr>
              <w:spacing w:after="120" w:line="259" w:lineRule="auto"/>
            </w:pPr>
            <w:r>
              <w:t>10-24.9</w:t>
            </w:r>
          </w:p>
          <w:p w:rsidR="0042158C" w:rsidP="003C6CA2" w:rsidRDefault="0042158C" w14:paraId="1B2AB8AC" w14:textId="77777777">
            <w:pPr>
              <w:pStyle w:val="ListParagraph"/>
              <w:numPr>
                <w:ilvl w:val="0"/>
                <w:numId w:val="50"/>
              </w:numPr>
              <w:spacing w:after="120" w:line="259" w:lineRule="auto"/>
            </w:pPr>
            <w:r>
              <w:t>50-99.9</w:t>
            </w:r>
          </w:p>
          <w:p w:rsidR="0042158C" w:rsidP="003C6CA2" w:rsidRDefault="0042158C" w14:paraId="01BE1206" w14:textId="77777777">
            <w:pPr>
              <w:pStyle w:val="ListParagraph"/>
              <w:numPr>
                <w:ilvl w:val="0"/>
                <w:numId w:val="50"/>
              </w:numPr>
              <w:spacing w:after="120" w:line="259" w:lineRule="auto"/>
            </w:pPr>
            <w:r>
              <w:t>100-199.9</w:t>
            </w:r>
          </w:p>
          <w:p w:rsidR="0042158C" w:rsidP="004F2CE2" w:rsidRDefault="00E61EF2" w14:paraId="50675CBD" w14:textId="6FBDB5D6">
            <w:pPr>
              <w:pStyle w:val="ListParagraph"/>
              <w:numPr>
                <w:ilvl w:val="0"/>
                <w:numId w:val="50"/>
              </w:numPr>
              <w:spacing w:after="120" w:line="259" w:lineRule="auto"/>
            </w:pPr>
            <w:r>
              <w:t>200+</w:t>
            </w:r>
          </w:p>
        </w:tc>
      </w:tr>
    </w:tbl>
    <w:p w:rsidR="00EB4AC1" w:rsidP="00CD015C" w:rsidRDefault="00EB4AC1" w14:paraId="69504D68" w14:textId="77777777">
      <w:pPr>
        <w:spacing w:after="120" w:line="259" w:lineRule="auto"/>
      </w:pPr>
    </w:p>
    <w:p w:rsidR="008F1917" w:rsidP="00CD015C" w:rsidRDefault="008F1917" w14:paraId="249F3EEF" w14:textId="77777777">
      <w:pPr>
        <w:spacing w:after="120" w:line="259" w:lineRule="auto"/>
      </w:pPr>
    </w:p>
    <w:p w:rsidR="008F1917" w:rsidP="00CD015C" w:rsidRDefault="008F1917" w14:paraId="43ADB72E" w14:textId="77777777">
      <w:pPr>
        <w:spacing w:after="120" w:line="259" w:lineRule="auto"/>
      </w:pPr>
    </w:p>
    <w:p w:rsidR="008F1917" w:rsidP="00CD015C" w:rsidRDefault="008F1917" w14:paraId="49CE413E" w14:textId="77777777">
      <w:pPr>
        <w:spacing w:after="120" w:line="259" w:lineRule="auto"/>
      </w:pPr>
    </w:p>
    <w:p w:rsidR="008F1917" w:rsidP="00CD015C" w:rsidRDefault="008F1917" w14:paraId="73B0DB5A" w14:textId="77777777">
      <w:pPr>
        <w:spacing w:after="120" w:line="259" w:lineRule="auto"/>
      </w:pPr>
    </w:p>
    <w:p w:rsidRPr="009F348F" w:rsidR="00631054" w:rsidP="00C93E0E" w:rsidRDefault="005C3EF4" w14:paraId="2A49AA2D" w14:textId="471CA388">
      <w:pPr>
        <w:pStyle w:val="ListParagraph"/>
        <w:numPr>
          <w:ilvl w:val="0"/>
          <w:numId w:val="32"/>
        </w:numPr>
        <w:spacing w:after="0" w:line="259" w:lineRule="auto"/>
        <w:rPr>
          <w:rFonts w:cstheme="minorHAnsi"/>
        </w:rPr>
      </w:pPr>
      <w:r w:rsidRPr="009F348F">
        <w:rPr>
          <w:rFonts w:cstheme="minorHAnsi"/>
          <w:b/>
          <w:bCs/>
          <w:iCs/>
        </w:rPr>
        <w:t>Budget</w:t>
      </w:r>
      <w:r w:rsidRPr="009F348F" w:rsidR="00EC1776">
        <w:rPr>
          <w:rFonts w:cstheme="minorHAnsi"/>
          <w:b/>
          <w:bCs/>
          <w:iCs/>
        </w:rPr>
        <w:t xml:space="preserve"> </w:t>
      </w:r>
      <w:r w:rsidR="00DB7BB3">
        <w:rPr>
          <w:rFonts w:cstheme="minorHAnsi"/>
          <w:b/>
          <w:bCs/>
          <w:iCs/>
        </w:rPr>
        <w:t>Proposal</w:t>
      </w:r>
    </w:p>
    <w:p w:rsidRPr="00DC26A4" w:rsidR="00EC1776" w:rsidP="00DC26A4" w:rsidRDefault="00631054" w14:paraId="58C7E356" w14:textId="035143B1">
      <w:pPr>
        <w:pStyle w:val="Default"/>
        <w:numPr>
          <w:ilvl w:val="1"/>
          <w:numId w:val="35"/>
        </w:numPr>
        <w:rPr>
          <w:rFonts w:cs="Times New Roman" w:asciiTheme="minorHAnsi" w:hAnsiTheme="minorHAnsi"/>
          <w:iCs/>
          <w:color w:val="auto"/>
          <w:sz w:val="22"/>
          <w:szCs w:val="22"/>
        </w:rPr>
      </w:pPr>
      <w:r w:rsidRPr="00631054">
        <w:rPr>
          <w:sz w:val="22"/>
          <w:szCs w:val="22"/>
        </w:rPr>
        <w:t xml:space="preserve">Refer to the </w:t>
      </w:r>
      <w:hyperlink w:history="1" r:id="rId17">
        <w:r w:rsidRPr="00300C72">
          <w:rPr>
            <w:rStyle w:val="Hyperlink"/>
            <w:sz w:val="22"/>
            <w:szCs w:val="22"/>
          </w:rPr>
          <w:t>budget template and instructions.</w:t>
        </w:r>
      </w:hyperlink>
      <w:r w:rsidRPr="00631054">
        <w:rPr>
          <w:sz w:val="22"/>
          <w:szCs w:val="22"/>
        </w:rPr>
        <w:t xml:space="preserve"> </w:t>
      </w:r>
      <w:r w:rsidRPr="00DC26A4" w:rsidR="00C03897">
        <w:rPr>
          <w:rFonts w:cs="Times New Roman" w:asciiTheme="minorHAnsi" w:hAnsiTheme="minorHAnsi"/>
          <w:iCs/>
          <w:color w:val="auto"/>
          <w:sz w:val="22"/>
          <w:szCs w:val="22"/>
        </w:rPr>
        <w:t>Each complete application must also include a budget justification using the sample budget template.</w:t>
      </w:r>
      <w:r w:rsidRPr="00DC26A4" w:rsidR="00C43792">
        <w:rPr>
          <w:rFonts w:cs="Times New Roman" w:asciiTheme="minorHAnsi" w:hAnsiTheme="minorHAnsi"/>
          <w:iCs/>
          <w:color w:val="auto"/>
          <w:sz w:val="22"/>
          <w:szCs w:val="22"/>
        </w:rPr>
        <w:t xml:space="preserve"> Each LHD may request up to $20,000 to support project activities. </w:t>
      </w:r>
    </w:p>
    <w:p w:rsidRPr="00DC26A4" w:rsidR="00C43792" w:rsidP="00EC1776" w:rsidRDefault="00BB0088" w14:paraId="1F3365F9" w14:textId="5FF16CEE">
      <w:pPr>
        <w:pStyle w:val="Default"/>
        <w:numPr>
          <w:ilvl w:val="1"/>
          <w:numId w:val="35"/>
        </w:numPr>
        <w:rPr>
          <w:rFonts w:cs="Times New Roman" w:asciiTheme="minorHAnsi" w:hAnsiTheme="minorHAnsi"/>
          <w:iCs/>
          <w:color w:val="auto"/>
          <w:sz w:val="22"/>
          <w:szCs w:val="22"/>
        </w:rPr>
      </w:pPr>
      <w:r w:rsidRPr="00DC26A4">
        <w:rPr>
          <w:rFonts w:cs="Times New Roman" w:asciiTheme="minorHAnsi" w:hAnsiTheme="minorHAnsi"/>
          <w:iCs/>
          <w:color w:val="auto"/>
          <w:sz w:val="22"/>
          <w:szCs w:val="22"/>
        </w:rPr>
        <w:t xml:space="preserve">The budget is required for complete application submissions but will not be included in the scoring criteria. The purpose of this budget is to demonstrate how you intend to use the funds awarded to support your work for the project. </w:t>
      </w:r>
    </w:p>
    <w:p w:rsidRPr="00DC26A4" w:rsidR="00474C67" w:rsidP="00EC1776" w:rsidRDefault="00474C67" w14:paraId="4BECCF36" w14:textId="6CA77A05">
      <w:pPr>
        <w:pStyle w:val="Default"/>
        <w:numPr>
          <w:ilvl w:val="1"/>
          <w:numId w:val="35"/>
        </w:numPr>
        <w:rPr>
          <w:rFonts w:cs="Times New Roman" w:asciiTheme="minorHAnsi" w:hAnsiTheme="minorHAnsi"/>
          <w:iCs/>
          <w:color w:val="auto"/>
          <w:sz w:val="22"/>
          <w:szCs w:val="22"/>
        </w:rPr>
      </w:pPr>
      <w:r w:rsidRPr="00DC26A4">
        <w:rPr>
          <w:rFonts w:cs="Times New Roman" w:asciiTheme="minorHAnsi" w:hAnsiTheme="minorHAnsi"/>
          <w:iCs/>
          <w:color w:val="auto"/>
          <w:sz w:val="22"/>
          <w:szCs w:val="22"/>
        </w:rPr>
        <w:t>Items that may be included in the request for funds include, but are not limited to, staff salaries and fringe benefits</w:t>
      </w:r>
      <w:r w:rsidRPr="00DC26A4" w:rsidR="002D4624">
        <w:rPr>
          <w:rFonts w:cs="Times New Roman" w:asciiTheme="minorHAnsi" w:hAnsiTheme="minorHAnsi"/>
          <w:iCs/>
          <w:color w:val="auto"/>
          <w:sz w:val="22"/>
          <w:szCs w:val="22"/>
        </w:rPr>
        <w:t>, supplies or equipment, indirect costs, etc</w:t>
      </w:r>
      <w:r w:rsidR="00C9746E">
        <w:rPr>
          <w:rFonts w:cs="Times New Roman" w:asciiTheme="minorHAnsi" w:hAnsiTheme="minorHAnsi"/>
          <w:iCs/>
          <w:color w:val="auto"/>
          <w:sz w:val="22"/>
          <w:szCs w:val="22"/>
        </w:rPr>
        <w:t>.</w:t>
      </w:r>
      <w:r w:rsidRPr="00DC26A4" w:rsidR="002D4624">
        <w:rPr>
          <w:rFonts w:cs="Times New Roman" w:asciiTheme="minorHAnsi" w:hAnsiTheme="minorHAnsi"/>
          <w:iCs/>
          <w:color w:val="auto"/>
          <w:sz w:val="22"/>
          <w:szCs w:val="22"/>
        </w:rPr>
        <w:t xml:space="preserve"> to support the completion of the deliverables within the project period.</w:t>
      </w:r>
    </w:p>
    <w:p w:rsidR="006F2A24" w:rsidP="000D7CB1" w:rsidRDefault="00612B09" w14:paraId="26910B7C" w14:textId="009D110C">
      <w:pPr>
        <w:pStyle w:val="Default"/>
        <w:numPr>
          <w:ilvl w:val="1"/>
          <w:numId w:val="35"/>
        </w:numPr>
        <w:rPr>
          <w:rFonts w:cs="Times New Roman" w:asciiTheme="minorHAnsi" w:hAnsiTheme="minorHAnsi"/>
          <w:iCs/>
          <w:color w:val="auto"/>
          <w:sz w:val="22"/>
          <w:szCs w:val="22"/>
        </w:rPr>
      </w:pPr>
      <w:r w:rsidRPr="00DC26A4">
        <w:rPr>
          <w:rFonts w:cs="Times New Roman" w:asciiTheme="minorHAnsi" w:hAnsiTheme="minorHAnsi"/>
          <w:iCs/>
          <w:color w:val="auto"/>
          <w:sz w:val="22"/>
          <w:szCs w:val="22"/>
        </w:rPr>
        <w:t xml:space="preserve">Activities supported directly by project funding will be constrained by allowable costs under CDC guidelines. </w:t>
      </w:r>
      <w:r w:rsidR="005D2588">
        <w:rPr>
          <w:rFonts w:cs="Times New Roman" w:asciiTheme="minorHAnsi" w:hAnsiTheme="minorHAnsi"/>
          <w:iCs/>
          <w:color w:val="auto"/>
          <w:sz w:val="22"/>
          <w:szCs w:val="22"/>
        </w:rPr>
        <w:t xml:space="preserve">Funds may not be used for equipment purchases. Per HHS requirements, funds awarded under this RFP are prohibited from being used to pay the direct salary of an individual at a rate in excess of current Federal Executive Schedule Level II salary cap. </w:t>
      </w:r>
      <w:r w:rsidR="000D7CB1">
        <w:rPr>
          <w:rFonts w:cs="Times New Roman" w:asciiTheme="minorHAnsi" w:hAnsiTheme="minorHAnsi"/>
          <w:iCs/>
          <w:color w:val="auto"/>
          <w:sz w:val="22"/>
          <w:szCs w:val="22"/>
        </w:rPr>
        <w:t>Please see Appendix B for a list of unallowable costs.</w:t>
      </w:r>
    </w:p>
    <w:p w:rsidR="00DC1D12" w:rsidP="00DC1D12" w:rsidRDefault="00541E57" w14:paraId="1F2C52D5" w14:textId="77777777">
      <w:pPr>
        <w:pStyle w:val="Default"/>
        <w:numPr>
          <w:ilvl w:val="1"/>
          <w:numId w:val="35"/>
        </w:numPr>
        <w:rPr>
          <w:rFonts w:cs="Times New Roman" w:asciiTheme="minorHAnsi" w:hAnsiTheme="minorHAnsi"/>
          <w:iCs/>
          <w:color w:val="auto"/>
          <w:sz w:val="22"/>
          <w:szCs w:val="22"/>
        </w:rPr>
      </w:pPr>
      <w:r w:rsidRPr="00DC1D12">
        <w:rPr>
          <w:rFonts w:cs="Times New Roman" w:asciiTheme="minorHAnsi" w:hAnsiTheme="minorHAnsi"/>
          <w:b/>
          <w:bCs/>
          <w:iCs/>
          <w:color w:val="auto"/>
          <w:sz w:val="22"/>
          <w:szCs w:val="22"/>
        </w:rPr>
        <w:t>Include a budget narrative</w:t>
      </w:r>
      <w:r>
        <w:rPr>
          <w:rFonts w:cs="Times New Roman" w:asciiTheme="minorHAnsi" w:hAnsiTheme="minorHAnsi"/>
          <w:iCs/>
          <w:color w:val="auto"/>
          <w:sz w:val="22"/>
          <w:szCs w:val="22"/>
        </w:rPr>
        <w:t xml:space="preserve"> (one page or less)</w:t>
      </w:r>
      <w:r w:rsidR="00971E75">
        <w:rPr>
          <w:rFonts w:cs="Times New Roman" w:asciiTheme="minorHAnsi" w:hAnsiTheme="minorHAnsi"/>
          <w:iCs/>
          <w:color w:val="auto"/>
          <w:sz w:val="22"/>
          <w:szCs w:val="22"/>
        </w:rPr>
        <w:t xml:space="preserve"> to explain each line-item and how the amounts were derived. See detailed guidance below. </w:t>
      </w:r>
    </w:p>
    <w:p w:rsidRPr="00DC1D12" w:rsidR="00DC1D12" w:rsidP="00DC1D12" w:rsidRDefault="00DC1D12" w14:paraId="68B5956B" w14:textId="13415B37">
      <w:pPr>
        <w:pStyle w:val="Default"/>
        <w:numPr>
          <w:ilvl w:val="2"/>
          <w:numId w:val="35"/>
        </w:numPr>
        <w:rPr>
          <w:rFonts w:cs="Times New Roman" w:asciiTheme="minorHAnsi" w:hAnsiTheme="minorHAnsi"/>
          <w:iCs/>
          <w:color w:val="auto"/>
          <w:sz w:val="22"/>
          <w:szCs w:val="22"/>
        </w:rPr>
      </w:pPr>
      <w:r w:rsidRPr="00DC1D12">
        <w:rPr>
          <w:sz w:val="22"/>
          <w:szCs w:val="22"/>
        </w:rPr>
        <w:t xml:space="preserve">For all applications, at least </w:t>
      </w:r>
      <w:r w:rsidR="00BF4D2B">
        <w:rPr>
          <w:sz w:val="22"/>
          <w:szCs w:val="22"/>
        </w:rPr>
        <w:t>15</w:t>
      </w:r>
      <w:r w:rsidRPr="00DC1D12">
        <w:rPr>
          <w:sz w:val="22"/>
          <w:szCs w:val="22"/>
        </w:rPr>
        <w:t xml:space="preserve">% of the budget must stay with the applying entity to ensure adequate resources for project management, participation in </w:t>
      </w:r>
      <w:r w:rsidR="005547FF">
        <w:rPr>
          <w:sz w:val="22"/>
          <w:szCs w:val="22"/>
        </w:rPr>
        <w:t>project activities</w:t>
      </w:r>
      <w:r w:rsidR="006C15DB">
        <w:rPr>
          <w:sz w:val="22"/>
          <w:szCs w:val="22"/>
        </w:rPr>
        <w:t xml:space="preserve"> and </w:t>
      </w:r>
      <w:r w:rsidRPr="00DC1D12">
        <w:rPr>
          <w:sz w:val="22"/>
          <w:szCs w:val="22"/>
        </w:rPr>
        <w:t xml:space="preserve">TA, </w:t>
      </w:r>
      <w:r w:rsidR="006C15DB">
        <w:rPr>
          <w:sz w:val="22"/>
          <w:szCs w:val="22"/>
        </w:rPr>
        <w:t xml:space="preserve">and </w:t>
      </w:r>
      <w:r w:rsidRPr="00DC1D12">
        <w:rPr>
          <w:sz w:val="22"/>
          <w:szCs w:val="22"/>
        </w:rPr>
        <w:t xml:space="preserve">evaluation. The goal of </w:t>
      </w:r>
      <w:r w:rsidR="00BF4D2B">
        <w:rPr>
          <w:sz w:val="22"/>
          <w:szCs w:val="22"/>
        </w:rPr>
        <w:t>15</w:t>
      </w:r>
      <w:r w:rsidRPr="00DC1D12">
        <w:rPr>
          <w:sz w:val="22"/>
          <w:szCs w:val="22"/>
        </w:rPr>
        <w:t xml:space="preserve">% is to support internal capacity building for the organizations implementing these programs. </w:t>
      </w:r>
    </w:p>
    <w:p w:rsidRPr="00AE3A00" w:rsidR="00AE3A00" w:rsidP="00AE3A00" w:rsidRDefault="007D0558" w14:paraId="39DA4E16" w14:textId="77777777">
      <w:pPr>
        <w:pStyle w:val="Default"/>
        <w:numPr>
          <w:ilvl w:val="2"/>
          <w:numId w:val="35"/>
        </w:numPr>
        <w:rPr>
          <w:rFonts w:cs="Times New Roman" w:asciiTheme="minorHAnsi" w:hAnsiTheme="minorHAnsi"/>
          <w:iCs/>
          <w:color w:val="auto"/>
          <w:sz w:val="22"/>
          <w:szCs w:val="22"/>
        </w:rPr>
      </w:pPr>
      <w:r w:rsidRPr="007D0558">
        <w:rPr>
          <w:sz w:val="22"/>
          <w:szCs w:val="22"/>
        </w:rPr>
        <w:t xml:space="preserve">Personnel: List all staff positions by title (both current and proposed). Give the annual salary or hourly rate of each position, the percentage of each position’s time devoted to the project, and the activities you anticipate these staff persons to conduct. </w:t>
      </w:r>
    </w:p>
    <w:p w:rsidR="007D0558" w:rsidP="007D0558" w:rsidRDefault="007D0558" w14:paraId="4DB41080" w14:textId="77777777">
      <w:pPr>
        <w:pStyle w:val="Default"/>
        <w:numPr>
          <w:ilvl w:val="2"/>
          <w:numId w:val="35"/>
        </w:numPr>
        <w:rPr>
          <w:rFonts w:cs="Times New Roman" w:asciiTheme="minorHAnsi" w:hAnsiTheme="minorHAnsi"/>
          <w:iCs/>
          <w:color w:val="auto"/>
          <w:sz w:val="22"/>
          <w:szCs w:val="22"/>
        </w:rPr>
      </w:pPr>
      <w:r w:rsidRPr="007D0558">
        <w:rPr>
          <w:sz w:val="22"/>
          <w:szCs w:val="22"/>
        </w:rPr>
        <w:t xml:space="preserve">Fringe Benefits: Provide a breakdown of the amounts and percentages that comprise fringe benefit costs such as health insurance, etc. </w:t>
      </w:r>
    </w:p>
    <w:p w:rsidR="007D0558" w:rsidP="007D0558" w:rsidRDefault="007D0558" w14:paraId="5C8D6177" w14:textId="77777777">
      <w:pPr>
        <w:pStyle w:val="Default"/>
        <w:numPr>
          <w:ilvl w:val="2"/>
          <w:numId w:val="35"/>
        </w:numPr>
        <w:rPr>
          <w:rFonts w:cs="Times New Roman" w:asciiTheme="minorHAnsi" w:hAnsiTheme="minorHAnsi"/>
          <w:iCs/>
          <w:color w:val="auto"/>
          <w:sz w:val="22"/>
          <w:szCs w:val="22"/>
        </w:rPr>
      </w:pPr>
      <w:r w:rsidRPr="007D0558">
        <w:rPr>
          <w:sz w:val="22"/>
          <w:szCs w:val="22"/>
        </w:rPr>
        <w:t xml:space="preserve">Travel: Specify the purpose and details of the travel. </w:t>
      </w:r>
    </w:p>
    <w:p w:rsidR="007D0558" w:rsidP="007D0558" w:rsidRDefault="007D0558" w14:paraId="69894424" w14:textId="77777777">
      <w:pPr>
        <w:pStyle w:val="Default"/>
        <w:numPr>
          <w:ilvl w:val="2"/>
          <w:numId w:val="35"/>
        </w:numPr>
        <w:rPr>
          <w:rFonts w:cs="Times New Roman" w:asciiTheme="minorHAnsi" w:hAnsiTheme="minorHAnsi"/>
          <w:iCs/>
          <w:color w:val="auto"/>
          <w:sz w:val="22"/>
          <w:szCs w:val="22"/>
        </w:rPr>
      </w:pPr>
      <w:r w:rsidRPr="007D0558">
        <w:rPr>
          <w:sz w:val="22"/>
          <w:szCs w:val="22"/>
        </w:rPr>
        <w:t xml:space="preserve">Supplies: Identify supplies in the detailed budget and the intended use for these supplies (i.e., what activities will the supplies support). </w:t>
      </w:r>
    </w:p>
    <w:p w:rsidR="007D0558" w:rsidP="007D0558" w:rsidRDefault="007D0558" w14:paraId="0C7B70E7" w14:textId="77777777">
      <w:pPr>
        <w:pStyle w:val="Default"/>
        <w:numPr>
          <w:ilvl w:val="2"/>
          <w:numId w:val="35"/>
        </w:numPr>
        <w:rPr>
          <w:rFonts w:cs="Times New Roman" w:asciiTheme="minorHAnsi" w:hAnsiTheme="minorHAnsi"/>
          <w:iCs/>
          <w:color w:val="auto"/>
          <w:sz w:val="22"/>
          <w:szCs w:val="22"/>
        </w:rPr>
      </w:pPr>
      <w:r w:rsidRPr="007D0558">
        <w:rPr>
          <w:sz w:val="22"/>
          <w:szCs w:val="22"/>
        </w:rPr>
        <w:t xml:space="preserve">Contractual: Identify each proposed contract and specify its purpose and estimated cost. </w:t>
      </w:r>
    </w:p>
    <w:p w:rsidRPr="00B650A4" w:rsidR="00B650A4" w:rsidP="007D0558" w:rsidRDefault="007D0558" w14:paraId="3924A9FE" w14:textId="77777777">
      <w:pPr>
        <w:pStyle w:val="Default"/>
        <w:numPr>
          <w:ilvl w:val="2"/>
          <w:numId w:val="35"/>
        </w:numPr>
        <w:rPr>
          <w:rFonts w:cs="Times New Roman" w:asciiTheme="minorHAnsi" w:hAnsiTheme="minorHAnsi"/>
          <w:iCs/>
          <w:color w:val="auto"/>
          <w:sz w:val="22"/>
          <w:szCs w:val="22"/>
        </w:rPr>
      </w:pPr>
      <w:r w:rsidRPr="007D0558">
        <w:rPr>
          <w:sz w:val="22"/>
          <w:szCs w:val="22"/>
        </w:rPr>
        <w:t>Respond to the following three questions at the end of the budget narrative:</w:t>
      </w:r>
    </w:p>
    <w:p w:rsidR="00B650A4" w:rsidP="00B650A4" w:rsidRDefault="007D0558" w14:paraId="2D9A2238" w14:textId="77777777">
      <w:pPr>
        <w:pStyle w:val="Default"/>
        <w:numPr>
          <w:ilvl w:val="3"/>
          <w:numId w:val="35"/>
        </w:numPr>
        <w:rPr>
          <w:rFonts w:cs="Times New Roman" w:asciiTheme="minorHAnsi" w:hAnsiTheme="minorHAnsi"/>
          <w:iCs/>
          <w:color w:val="auto"/>
          <w:sz w:val="22"/>
          <w:szCs w:val="22"/>
        </w:rPr>
      </w:pPr>
      <w:r w:rsidRPr="007D0558">
        <w:rPr>
          <w:sz w:val="22"/>
          <w:szCs w:val="22"/>
        </w:rPr>
        <w:t xml:space="preserve">Do you have prior experience in Federal Contracting? </w:t>
      </w:r>
    </w:p>
    <w:p w:rsidRPr="00B650A4" w:rsidR="007D0558" w:rsidP="00C93E0E" w:rsidRDefault="6E868939" w14:paraId="35D33101" w14:textId="0F5E3EC1">
      <w:pPr>
        <w:pStyle w:val="Default"/>
        <w:numPr>
          <w:ilvl w:val="3"/>
          <w:numId w:val="35"/>
        </w:numPr>
        <w:spacing w:after="120"/>
        <w:rPr>
          <w:rFonts w:cs="Times New Roman" w:asciiTheme="minorHAnsi" w:hAnsiTheme="minorHAnsi"/>
          <w:color w:val="auto"/>
          <w:sz w:val="22"/>
          <w:szCs w:val="22"/>
        </w:rPr>
      </w:pPr>
      <w:r w:rsidRPr="1EE1375A">
        <w:rPr>
          <w:sz w:val="22"/>
          <w:szCs w:val="22"/>
        </w:rPr>
        <w:t xml:space="preserve">Have you completed a Single Audit? </w:t>
      </w:r>
    </w:p>
    <w:p w:rsidRPr="00870432" w:rsidR="7A7F9C30" w:rsidP="1EE1375A" w:rsidRDefault="7A7F9C30" w14:paraId="6507DEA5" w14:textId="2262DD9D">
      <w:pPr>
        <w:pStyle w:val="Default"/>
        <w:numPr>
          <w:ilvl w:val="0"/>
          <w:numId w:val="35"/>
        </w:numPr>
        <w:rPr>
          <w:color w:val="000000" w:themeColor="text1"/>
          <w:sz w:val="22"/>
          <w:szCs w:val="22"/>
        </w:rPr>
      </w:pPr>
      <w:r w:rsidRPr="00C93E0E">
        <w:rPr>
          <w:rFonts w:eastAsia="Calibri" w:asciiTheme="minorHAnsi" w:hAnsiTheme="minorHAnsi" w:cstheme="minorHAnsi"/>
          <w:b/>
          <w:bCs/>
          <w:color w:val="000000" w:themeColor="text1"/>
          <w:sz w:val="22"/>
          <w:szCs w:val="22"/>
        </w:rPr>
        <w:t xml:space="preserve">Attachments </w:t>
      </w:r>
    </w:p>
    <w:p w:rsidRPr="00870432" w:rsidR="7A7F9C30" w:rsidP="1EE1375A" w:rsidRDefault="7A7F9C30" w14:paraId="4B4977B3" w14:textId="7F921040">
      <w:pPr>
        <w:pStyle w:val="Default"/>
        <w:numPr>
          <w:ilvl w:val="1"/>
          <w:numId w:val="35"/>
        </w:numPr>
        <w:rPr>
          <w:color w:val="auto"/>
          <w:sz w:val="22"/>
          <w:szCs w:val="22"/>
        </w:rPr>
      </w:pPr>
      <w:r w:rsidRPr="00870432">
        <w:rPr>
          <w:rFonts w:eastAsia="Calibri"/>
          <w:color w:val="000000" w:themeColor="text1"/>
          <w:sz w:val="22"/>
          <w:szCs w:val="22"/>
        </w:rPr>
        <w:t xml:space="preserve">Required: Complete and submit the </w:t>
      </w:r>
      <w:hyperlink r:id="rId18">
        <w:r w:rsidRPr="00870432">
          <w:rPr>
            <w:rStyle w:val="Hyperlink"/>
            <w:rFonts w:eastAsia="Calibri"/>
            <w:sz w:val="22"/>
            <w:szCs w:val="22"/>
          </w:rPr>
          <w:t>Budget</w:t>
        </w:r>
      </w:hyperlink>
      <w:r w:rsidRPr="00870432">
        <w:rPr>
          <w:rFonts w:eastAsia="Calibri"/>
          <w:color w:val="000000" w:themeColor="text1"/>
          <w:sz w:val="22"/>
          <w:szCs w:val="22"/>
        </w:rPr>
        <w:t xml:space="preserve"> and </w:t>
      </w:r>
      <w:hyperlink r:id="rId19">
        <w:r w:rsidRPr="00870432">
          <w:rPr>
            <w:rStyle w:val="Hyperlink"/>
            <w:rFonts w:eastAsia="Calibri"/>
            <w:sz w:val="22"/>
            <w:szCs w:val="22"/>
          </w:rPr>
          <w:t>Budget Narrative</w:t>
        </w:r>
      </w:hyperlink>
      <w:r w:rsidRPr="00870432">
        <w:rPr>
          <w:rFonts w:eastAsia="Calibri"/>
          <w:color w:val="000000" w:themeColor="text1"/>
          <w:sz w:val="22"/>
          <w:szCs w:val="22"/>
        </w:rPr>
        <w:t xml:space="preserve"> templates</w:t>
      </w:r>
    </w:p>
    <w:p w:rsidRPr="00870432" w:rsidR="7A7F9C30" w:rsidP="1EE1375A" w:rsidRDefault="7A7F9C30" w14:paraId="35298E21" w14:textId="42E2277B">
      <w:pPr>
        <w:pStyle w:val="Default"/>
        <w:numPr>
          <w:ilvl w:val="1"/>
          <w:numId w:val="35"/>
        </w:numPr>
        <w:rPr>
          <w:color w:val="auto"/>
          <w:sz w:val="22"/>
          <w:szCs w:val="22"/>
        </w:rPr>
      </w:pPr>
      <w:r w:rsidRPr="00870432">
        <w:rPr>
          <w:sz w:val="22"/>
          <w:szCs w:val="22"/>
        </w:rPr>
        <w:t xml:space="preserve">Required: Complete and submit the </w:t>
      </w:r>
      <w:hyperlink r:id="rId20">
        <w:r w:rsidRPr="00870432">
          <w:rPr>
            <w:rStyle w:val="Hyperlink"/>
            <w:sz w:val="22"/>
            <w:szCs w:val="22"/>
          </w:rPr>
          <w:t>Vendor Information Form</w:t>
        </w:r>
      </w:hyperlink>
    </w:p>
    <w:p w:rsidRPr="00870432" w:rsidR="7A7F9C30" w:rsidP="1EE1375A" w:rsidRDefault="7A7F9C30" w14:paraId="1E3D6259" w14:textId="68BD0A7B">
      <w:pPr>
        <w:pStyle w:val="Default"/>
        <w:numPr>
          <w:ilvl w:val="1"/>
          <w:numId w:val="35"/>
        </w:numPr>
        <w:rPr>
          <w:color w:val="auto"/>
          <w:sz w:val="22"/>
          <w:szCs w:val="22"/>
        </w:rPr>
      </w:pPr>
      <w:r w:rsidRPr="00870432">
        <w:rPr>
          <w:sz w:val="22"/>
          <w:szCs w:val="22"/>
        </w:rPr>
        <w:t xml:space="preserve">Required: Complete and submit the </w:t>
      </w:r>
      <w:hyperlink r:id="rId21">
        <w:r w:rsidRPr="00870432">
          <w:rPr>
            <w:rStyle w:val="Hyperlink"/>
            <w:sz w:val="22"/>
            <w:szCs w:val="22"/>
          </w:rPr>
          <w:t>Certification of Non-Debarment</w:t>
        </w:r>
      </w:hyperlink>
    </w:p>
    <w:p w:rsidRPr="00870432" w:rsidR="00EA14D4" w:rsidP="00EA14D4" w:rsidRDefault="7A7F9C30" w14:paraId="70408C8D" w14:textId="77777777">
      <w:pPr>
        <w:pStyle w:val="Default"/>
        <w:numPr>
          <w:ilvl w:val="1"/>
          <w:numId w:val="35"/>
        </w:numPr>
        <w:rPr>
          <w:color w:val="auto"/>
          <w:sz w:val="22"/>
          <w:szCs w:val="22"/>
        </w:rPr>
      </w:pPr>
      <w:r w:rsidRPr="00870432">
        <w:rPr>
          <w:sz w:val="22"/>
          <w:szCs w:val="22"/>
        </w:rPr>
        <w:t xml:space="preserve">Required: Submit a </w:t>
      </w:r>
      <w:hyperlink w:history="1" r:id="rId22">
        <w:r w:rsidRPr="00870432">
          <w:rPr>
            <w:rStyle w:val="Hyperlink"/>
            <w:sz w:val="22"/>
            <w:szCs w:val="22"/>
          </w:rPr>
          <w:t>W-9</w:t>
        </w:r>
      </w:hyperlink>
    </w:p>
    <w:p w:rsidRPr="00870432" w:rsidR="00EA14D4" w:rsidP="00EA14D4" w:rsidRDefault="00423F51" w14:paraId="7B18408D" w14:textId="4B337649">
      <w:pPr>
        <w:pStyle w:val="Default"/>
        <w:numPr>
          <w:ilvl w:val="1"/>
          <w:numId w:val="35"/>
        </w:numPr>
        <w:rPr>
          <w:color w:val="auto"/>
          <w:sz w:val="22"/>
          <w:szCs w:val="22"/>
        </w:rPr>
      </w:pPr>
      <w:r w:rsidRPr="00870432">
        <w:rPr>
          <w:sz w:val="22"/>
          <w:szCs w:val="22"/>
        </w:rPr>
        <w:t xml:space="preserve">Required: Complete and submit the </w:t>
      </w:r>
      <w:r w:rsidRPr="00870432" w:rsidR="00EA14D4">
        <w:rPr>
          <w:sz w:val="22"/>
          <w:szCs w:val="22"/>
        </w:rPr>
        <w:t xml:space="preserve">Certification Regarding Lobbying with Federally Appropriated Funds – </w:t>
      </w:r>
      <w:hyperlink w:history="1" r:id="rId23">
        <w:r w:rsidRPr="00870432" w:rsidR="00EA14D4">
          <w:rPr>
            <w:rStyle w:val="Hyperlink"/>
            <w:sz w:val="22"/>
            <w:szCs w:val="22"/>
          </w:rPr>
          <w:t>Form</w:t>
        </w:r>
      </w:hyperlink>
    </w:p>
    <w:p w:rsidRPr="00870432" w:rsidR="00EA14D4" w:rsidP="00EA14D4" w:rsidRDefault="00EA14D4" w14:paraId="55B14863" w14:textId="70F46BDF">
      <w:pPr>
        <w:pStyle w:val="Default"/>
        <w:numPr>
          <w:ilvl w:val="1"/>
          <w:numId w:val="35"/>
        </w:numPr>
        <w:rPr>
          <w:color w:val="auto"/>
          <w:sz w:val="22"/>
          <w:szCs w:val="22"/>
        </w:rPr>
      </w:pPr>
      <w:r w:rsidRPr="00870432">
        <w:rPr>
          <w:sz w:val="22"/>
          <w:szCs w:val="22"/>
        </w:rPr>
        <w:t xml:space="preserve">Certification regarding Non-Applicability of Audit Requirement (as applicable) – </w:t>
      </w:r>
      <w:hyperlink w:history="1" r:id="rId24">
        <w:r w:rsidRPr="00870432">
          <w:rPr>
            <w:rStyle w:val="Hyperlink"/>
            <w:sz w:val="22"/>
            <w:szCs w:val="22"/>
          </w:rPr>
          <w:t>Form</w:t>
        </w:r>
      </w:hyperlink>
    </w:p>
    <w:p w:rsidRPr="00870432" w:rsidR="00561486" w:rsidP="00573C68" w:rsidRDefault="00EA14D4" w14:paraId="1A1FB3EA" w14:textId="4975B0DA">
      <w:pPr>
        <w:pStyle w:val="Default"/>
        <w:numPr>
          <w:ilvl w:val="1"/>
          <w:numId w:val="35"/>
        </w:numPr>
        <w:rPr>
          <w:color w:val="auto"/>
          <w:sz w:val="22"/>
          <w:szCs w:val="22"/>
        </w:rPr>
      </w:pPr>
      <w:r w:rsidRPr="00870432">
        <w:rPr>
          <w:sz w:val="22"/>
          <w:szCs w:val="22"/>
        </w:rPr>
        <w:t xml:space="preserve">Proof of </w:t>
      </w:r>
      <w:r w:rsidR="00E16FE9">
        <w:rPr>
          <w:sz w:val="22"/>
          <w:szCs w:val="22"/>
        </w:rPr>
        <w:t xml:space="preserve">active registration with </w:t>
      </w:r>
      <w:r w:rsidRPr="00870432">
        <w:rPr>
          <w:sz w:val="22"/>
          <w:szCs w:val="22"/>
        </w:rPr>
        <w:t xml:space="preserve">SAM.gov </w:t>
      </w:r>
      <w:r w:rsidR="00E16FE9">
        <w:rPr>
          <w:sz w:val="22"/>
          <w:szCs w:val="22"/>
        </w:rPr>
        <w:t>in accordance with active DUNS number</w:t>
      </w:r>
    </w:p>
    <w:p w:rsidR="00020A4A" w:rsidP="00D916DD" w:rsidRDefault="00020A4A" w14:paraId="346ECBC9" w14:textId="77777777">
      <w:pPr>
        <w:pStyle w:val="Heading3"/>
      </w:pPr>
    </w:p>
    <w:p w:rsidRPr="00E1740F" w:rsidR="00A6316B" w:rsidP="00D916DD" w:rsidRDefault="00A6316B" w14:paraId="58DF5A9F" w14:textId="447AC1EF">
      <w:pPr>
        <w:pStyle w:val="Heading3"/>
      </w:pPr>
      <w:r w:rsidRPr="00E1740F">
        <w:t xml:space="preserve">Selection Process </w:t>
      </w:r>
    </w:p>
    <w:p w:rsidR="00A6316B" w:rsidP="00A6316B" w:rsidRDefault="00A6316B" w14:paraId="3EE8669B" w14:textId="54C99723">
      <w:pPr>
        <w:pStyle w:val="Default"/>
        <w:rPr>
          <w:sz w:val="22"/>
          <w:szCs w:val="22"/>
        </w:rPr>
      </w:pPr>
      <w:r w:rsidRPr="70B27C9D">
        <w:rPr>
          <w:sz w:val="22"/>
          <w:szCs w:val="22"/>
        </w:rPr>
        <w:t>Applications for this project will be evaluated by NACCHO</w:t>
      </w:r>
      <w:r w:rsidRPr="70B27C9D" w:rsidR="42C386CA">
        <w:rPr>
          <w:sz w:val="22"/>
          <w:szCs w:val="22"/>
        </w:rPr>
        <w:t xml:space="preserve"> and CDC</w:t>
      </w:r>
      <w:r w:rsidRPr="70B27C9D">
        <w:rPr>
          <w:sz w:val="22"/>
          <w:szCs w:val="22"/>
        </w:rPr>
        <w:t xml:space="preserve">. Incomplete applications will not be reviewed. </w:t>
      </w:r>
    </w:p>
    <w:p w:rsidR="00A6316B" w:rsidP="00A6316B" w:rsidRDefault="00A6316B" w14:paraId="74B51808" w14:textId="77777777">
      <w:pPr>
        <w:pStyle w:val="Default"/>
        <w:rPr>
          <w:sz w:val="22"/>
          <w:szCs w:val="22"/>
        </w:rPr>
      </w:pPr>
    </w:p>
    <w:p w:rsidRPr="00D916DD" w:rsidR="00A6316B" w:rsidP="00A6316B" w:rsidRDefault="003D669A" w14:paraId="437A938C" w14:textId="11DA0935">
      <w:pPr>
        <w:pStyle w:val="Default"/>
        <w:rPr>
          <w:b/>
          <w:bCs/>
          <w:sz w:val="22"/>
          <w:szCs w:val="22"/>
        </w:rPr>
      </w:pPr>
      <w:r w:rsidRPr="00D916DD">
        <w:rPr>
          <w:b/>
          <w:bCs/>
          <w:sz w:val="22"/>
          <w:szCs w:val="22"/>
        </w:rPr>
        <w:t xml:space="preserve">Scoring and considerations: </w:t>
      </w:r>
    </w:p>
    <w:p w:rsidR="00A6316B" w:rsidP="00A6316B" w:rsidRDefault="00A6316B" w14:paraId="507B2AD7" w14:textId="29DE57F8">
      <w:pPr>
        <w:pStyle w:val="Default"/>
        <w:numPr>
          <w:ilvl w:val="0"/>
          <w:numId w:val="38"/>
        </w:numPr>
        <w:rPr>
          <w:sz w:val="22"/>
          <w:szCs w:val="22"/>
        </w:rPr>
      </w:pPr>
      <w:r>
        <w:rPr>
          <w:sz w:val="22"/>
          <w:szCs w:val="22"/>
        </w:rPr>
        <w:t>Statement of Need and Impact of COVID-19 (</w:t>
      </w:r>
      <w:r w:rsidR="00C15A51">
        <w:rPr>
          <w:sz w:val="22"/>
          <w:szCs w:val="22"/>
        </w:rPr>
        <w:t>40</w:t>
      </w:r>
      <w:r>
        <w:rPr>
          <w:sz w:val="22"/>
          <w:szCs w:val="22"/>
        </w:rPr>
        <w:t>%)</w:t>
      </w:r>
      <w:r w:rsidR="00631F18">
        <w:rPr>
          <w:sz w:val="22"/>
          <w:szCs w:val="22"/>
        </w:rPr>
        <w:t xml:space="preserve">: </w:t>
      </w:r>
    </w:p>
    <w:p w:rsidR="00A6316B" w:rsidP="00A6316B" w:rsidRDefault="00A6316B" w14:paraId="202750CD" w14:textId="77777777">
      <w:pPr>
        <w:pStyle w:val="Default"/>
        <w:numPr>
          <w:ilvl w:val="0"/>
          <w:numId w:val="38"/>
        </w:numPr>
        <w:rPr>
          <w:sz w:val="22"/>
          <w:szCs w:val="22"/>
        </w:rPr>
      </w:pPr>
      <w:r>
        <w:rPr>
          <w:sz w:val="22"/>
          <w:szCs w:val="22"/>
        </w:rPr>
        <w:t>Current Work (15%)</w:t>
      </w:r>
    </w:p>
    <w:p w:rsidR="00A6316B" w:rsidP="00A6316B" w:rsidRDefault="00A6316B" w14:paraId="1F538205" w14:textId="51E18BE6">
      <w:pPr>
        <w:pStyle w:val="Default"/>
        <w:numPr>
          <w:ilvl w:val="0"/>
          <w:numId w:val="38"/>
        </w:numPr>
        <w:rPr>
          <w:sz w:val="22"/>
          <w:szCs w:val="22"/>
        </w:rPr>
      </w:pPr>
      <w:r>
        <w:rPr>
          <w:sz w:val="22"/>
          <w:szCs w:val="22"/>
        </w:rPr>
        <w:t xml:space="preserve">Reflection of SPACECAT </w:t>
      </w:r>
      <w:r w:rsidR="00BC583F">
        <w:rPr>
          <w:sz w:val="22"/>
          <w:szCs w:val="22"/>
        </w:rPr>
        <w:t xml:space="preserve">Results </w:t>
      </w:r>
      <w:r>
        <w:rPr>
          <w:sz w:val="22"/>
          <w:szCs w:val="22"/>
        </w:rPr>
        <w:t>(15%)</w:t>
      </w:r>
    </w:p>
    <w:p w:rsidR="00A6316B" w:rsidP="00A6316B" w:rsidRDefault="00A6316B" w14:paraId="61AFC079" w14:textId="6392165A">
      <w:pPr>
        <w:pStyle w:val="Default"/>
        <w:numPr>
          <w:ilvl w:val="0"/>
          <w:numId w:val="38"/>
        </w:numPr>
        <w:rPr>
          <w:sz w:val="22"/>
          <w:szCs w:val="22"/>
        </w:rPr>
      </w:pPr>
      <w:r>
        <w:rPr>
          <w:sz w:val="22"/>
          <w:szCs w:val="22"/>
        </w:rPr>
        <w:t>Jurisdiction</w:t>
      </w:r>
      <w:r w:rsidR="00DB3B0E">
        <w:rPr>
          <w:sz w:val="22"/>
          <w:szCs w:val="22"/>
        </w:rPr>
        <w:t>al</w:t>
      </w:r>
      <w:r>
        <w:rPr>
          <w:sz w:val="22"/>
          <w:szCs w:val="22"/>
        </w:rPr>
        <w:t xml:space="preserve"> Characteristics (</w:t>
      </w:r>
      <w:r w:rsidR="00C15A51">
        <w:rPr>
          <w:sz w:val="22"/>
          <w:szCs w:val="22"/>
        </w:rPr>
        <w:t>30</w:t>
      </w:r>
      <w:r>
        <w:rPr>
          <w:sz w:val="22"/>
          <w:szCs w:val="22"/>
        </w:rPr>
        <w:t>%)</w:t>
      </w:r>
    </w:p>
    <w:p w:rsidRPr="00C74BE5" w:rsidR="00A6316B" w:rsidP="1EE1375A" w:rsidRDefault="422FBF20" w14:paraId="2E77C6D0" w14:textId="4A16F6B2">
      <w:pPr>
        <w:pStyle w:val="Default"/>
        <w:numPr>
          <w:ilvl w:val="1"/>
          <w:numId w:val="38"/>
        </w:numPr>
        <w:rPr>
          <w:rFonts w:asciiTheme="minorHAnsi" w:hAnsiTheme="minorHAnsi" w:cstheme="minorBidi"/>
          <w:sz w:val="22"/>
          <w:szCs w:val="22"/>
        </w:rPr>
      </w:pPr>
      <w:r w:rsidRPr="1EE1375A">
        <w:rPr>
          <w:rStyle w:val="cf01"/>
          <w:rFonts w:asciiTheme="minorHAnsi" w:hAnsiTheme="minorHAnsi" w:cstheme="minorBidi"/>
          <w:sz w:val="22"/>
          <w:szCs w:val="22"/>
        </w:rPr>
        <w:t xml:space="preserve">Please note, reviewers will consider geographic distribution, jurisdictional characteristics, and population size served to ensure diversity in local health departments selected. </w:t>
      </w:r>
    </w:p>
    <w:p w:rsidR="1EE1375A" w:rsidP="1EE1375A" w:rsidRDefault="1EE1375A" w14:paraId="5F978593" w14:textId="68D697EC">
      <w:pPr>
        <w:pStyle w:val="Default"/>
        <w:rPr>
          <w:rStyle w:val="cf01"/>
          <w:rFonts w:ascii="Calibri" w:hAnsi="Calibri" w:eastAsia="Calibri" w:cs="Calibri"/>
          <w:color w:val="000000" w:themeColor="text1"/>
          <w:sz w:val="24"/>
          <w:szCs w:val="24"/>
        </w:rPr>
      </w:pPr>
    </w:p>
    <w:p w:rsidR="26E4895C" w:rsidP="1EE1375A" w:rsidRDefault="26E4895C" w14:paraId="692E0DB7" w14:textId="0091D434">
      <w:pPr>
        <w:pStyle w:val="Default"/>
        <w:rPr>
          <w:rStyle w:val="cf01"/>
          <w:rFonts w:ascii="Calibri" w:hAnsi="Calibri" w:eastAsia="Calibri" w:cs="Calibri"/>
          <w:color w:val="000000" w:themeColor="text1"/>
          <w:sz w:val="24"/>
          <w:szCs w:val="24"/>
        </w:rPr>
      </w:pPr>
      <w:r w:rsidRPr="1EE1375A">
        <w:rPr>
          <w:rStyle w:val="cf01"/>
          <w:rFonts w:eastAsia="Calibri" w:asciiTheme="minorHAnsi" w:hAnsiTheme="minorHAnsi" w:cstheme="minorBidi"/>
          <w:color w:val="000000" w:themeColor="text1"/>
          <w:sz w:val="22"/>
          <w:szCs w:val="22"/>
        </w:rPr>
        <w:t xml:space="preserve">Please note that submission of </w:t>
      </w:r>
      <w:r w:rsidRPr="1EE1375A" w:rsidR="00550BB1">
        <w:rPr>
          <w:rStyle w:val="cf01"/>
          <w:rFonts w:eastAsia="Calibri" w:asciiTheme="minorHAnsi" w:hAnsiTheme="minorHAnsi" w:cstheme="minorBidi"/>
          <w:color w:val="000000" w:themeColor="text1"/>
          <w:sz w:val="22"/>
          <w:szCs w:val="22"/>
        </w:rPr>
        <w:t>a</w:t>
      </w:r>
      <w:r w:rsidR="00550BB1">
        <w:rPr>
          <w:rStyle w:val="cf01"/>
          <w:rFonts w:eastAsia="Calibri" w:asciiTheme="minorHAnsi" w:hAnsiTheme="minorHAnsi" w:cstheme="minorBidi"/>
          <w:color w:val="000000" w:themeColor="text1"/>
          <w:sz w:val="22"/>
          <w:szCs w:val="22"/>
        </w:rPr>
        <w:t xml:space="preserve">n application </w:t>
      </w:r>
      <w:r w:rsidRPr="1EE1375A">
        <w:rPr>
          <w:rStyle w:val="cf01"/>
          <w:rFonts w:eastAsia="Calibri" w:asciiTheme="minorHAnsi" w:hAnsiTheme="minorHAnsi" w:cstheme="minorBidi"/>
          <w:color w:val="000000" w:themeColor="text1"/>
          <w:sz w:val="22"/>
          <w:szCs w:val="22"/>
        </w:rPr>
        <w:t xml:space="preserve">is a statement of acceptance of NACCHO’s standard form contract (Appendix A). If any items cannot be accepted, these issues need to be resolved prior to submitting the application. </w:t>
      </w:r>
    </w:p>
    <w:p w:rsidRPr="00F40D26" w:rsidR="0089201C" w:rsidP="00E66E71" w:rsidRDefault="0089201C" w14:paraId="653D287C" w14:textId="77777777">
      <w:pPr>
        <w:pStyle w:val="Default"/>
        <w:rPr>
          <w:rFonts w:cs="Times New Roman"/>
          <w:i/>
          <w:color w:val="FF0000"/>
          <w:sz w:val="20"/>
          <w:szCs w:val="20"/>
        </w:rPr>
      </w:pPr>
    </w:p>
    <w:p w:rsidRPr="00D916DD" w:rsidR="001972DE" w:rsidP="002142C8" w:rsidRDefault="00E83256" w14:paraId="4E404688" w14:textId="1CC5104C">
      <w:pPr>
        <w:pStyle w:val="Default"/>
        <w:rPr>
          <w:b/>
          <w:bCs/>
          <w:smallCaps/>
          <w:color w:val="244061" w:themeColor="accent1" w:themeShade="80"/>
          <w:sz w:val="28"/>
          <w:szCs w:val="28"/>
          <w:u w:val="single"/>
        </w:rPr>
      </w:pPr>
      <w:r>
        <w:rPr>
          <w:b/>
          <w:bCs/>
          <w:smallCaps/>
          <w:color w:val="244061" w:themeColor="accent1" w:themeShade="80"/>
          <w:sz w:val="28"/>
          <w:szCs w:val="28"/>
          <w:u w:val="single"/>
        </w:rPr>
        <w:t>Su</w:t>
      </w:r>
      <w:r w:rsidR="002C380E">
        <w:rPr>
          <w:b/>
          <w:bCs/>
          <w:smallCaps/>
          <w:color w:val="244061" w:themeColor="accent1" w:themeShade="80"/>
          <w:sz w:val="28"/>
          <w:szCs w:val="28"/>
          <w:u w:val="single"/>
        </w:rPr>
        <w:t>bmission Instructions</w:t>
      </w:r>
    </w:p>
    <w:p w:rsidR="002142C8" w:rsidP="00020A4A" w:rsidRDefault="002142C8" w14:paraId="668E86D5" w14:textId="54DA0353">
      <w:pPr>
        <w:pStyle w:val="Default"/>
        <w:spacing w:after="120"/>
        <w:rPr>
          <w:sz w:val="22"/>
          <w:szCs w:val="22"/>
        </w:rPr>
      </w:pPr>
      <w:r>
        <w:rPr>
          <w:sz w:val="22"/>
          <w:szCs w:val="22"/>
        </w:rPr>
        <w:t>Applicants</w:t>
      </w:r>
      <w:r w:rsidR="00F265BC">
        <w:rPr>
          <w:sz w:val="22"/>
          <w:szCs w:val="22"/>
        </w:rPr>
        <w:t xml:space="preserve"> for the </w:t>
      </w:r>
      <w:r w:rsidRPr="00CD015C" w:rsidR="00F265BC">
        <w:rPr>
          <w:rFonts w:asciiTheme="minorHAnsi" w:hAnsiTheme="minorHAnsi" w:cstheme="minorBidi"/>
          <w:color w:val="auto"/>
          <w:sz w:val="22"/>
          <w:szCs w:val="22"/>
        </w:rPr>
        <w:t>Strengthening Capacity in Suicide, Overdose, and Adverse Childhood Experiences (ACEs) Prevention for Local Health Departments project</w:t>
      </w:r>
      <w:r>
        <w:rPr>
          <w:sz w:val="22"/>
          <w:szCs w:val="22"/>
        </w:rPr>
        <w:t xml:space="preserve"> should: </w:t>
      </w:r>
    </w:p>
    <w:p w:rsidR="002142C8" w:rsidP="00020A4A" w:rsidRDefault="002142C8" w14:paraId="04D7892D" w14:textId="77777777">
      <w:pPr>
        <w:pStyle w:val="Default"/>
        <w:numPr>
          <w:ilvl w:val="0"/>
          <w:numId w:val="39"/>
        </w:numPr>
        <w:spacing w:after="120"/>
        <w:rPr>
          <w:sz w:val="22"/>
          <w:szCs w:val="22"/>
        </w:rPr>
      </w:pPr>
      <w:r>
        <w:rPr>
          <w:sz w:val="22"/>
          <w:szCs w:val="22"/>
        </w:rPr>
        <w:t xml:space="preserve">Review the requirements and expectations outlined in this RFA. </w:t>
      </w:r>
    </w:p>
    <w:p w:rsidR="002142C8" w:rsidP="00020A4A" w:rsidRDefault="002142C8" w14:paraId="5BB6371F" w14:textId="5434AABD">
      <w:pPr>
        <w:pStyle w:val="Default"/>
        <w:numPr>
          <w:ilvl w:val="0"/>
          <w:numId w:val="39"/>
        </w:numPr>
        <w:spacing w:after="120"/>
        <w:rPr>
          <w:sz w:val="22"/>
          <w:szCs w:val="22"/>
        </w:rPr>
      </w:pPr>
      <w:r>
        <w:rPr>
          <w:sz w:val="22"/>
          <w:szCs w:val="22"/>
        </w:rPr>
        <w:t>Read NACCHO’s standard contract (Appendix A) and provide a copy to the individual with signing authority for the LHD (or entity that would be contracting with NACCHO, e.g., city government), including any relevant financial or legal offices for advanced consideration</w:t>
      </w:r>
      <w:r w:rsidRPr="004F129F">
        <w:rPr>
          <w:sz w:val="22"/>
          <w:szCs w:val="22"/>
        </w:rPr>
        <w:t xml:space="preserve">. </w:t>
      </w:r>
      <w:r w:rsidRPr="001D0657" w:rsidR="004F129F">
        <w:rPr>
          <w:rFonts w:asciiTheme="minorHAnsi" w:hAnsiTheme="minorHAnsi" w:cstheme="minorHAnsi"/>
          <w:sz w:val="22"/>
          <w:szCs w:val="22"/>
        </w:rPr>
        <w:t xml:space="preserve">Selected LHDs must </w:t>
      </w:r>
      <w:r w:rsidRPr="001D0657" w:rsidR="004F129F">
        <w:rPr>
          <w:rFonts w:asciiTheme="minorHAnsi" w:hAnsiTheme="minorHAnsi" w:cstheme="minorHAnsi"/>
          <w:color w:val="auto"/>
          <w:sz w:val="22"/>
          <w:szCs w:val="22"/>
        </w:rPr>
        <w:t>agree to the contract language and be able to sign and return a contract to NACCHO within approximately 30 days of receiving it. No modifications will be made.</w:t>
      </w:r>
      <w:r w:rsidRPr="001D0657" w:rsidR="004F129F">
        <w:rPr>
          <w:rFonts w:asciiTheme="minorHAnsi" w:hAnsiTheme="minorHAnsi" w:cstheme="minorHAnsi"/>
          <w:b/>
          <w:bCs/>
          <w:color w:val="auto"/>
          <w:sz w:val="22"/>
          <w:szCs w:val="22"/>
        </w:rPr>
        <w:t xml:space="preserve"> </w:t>
      </w:r>
      <w:r>
        <w:rPr>
          <w:i/>
          <w:iCs/>
          <w:sz w:val="22"/>
          <w:szCs w:val="22"/>
        </w:rPr>
        <w:t xml:space="preserve">Do not sign or send back the contract with the application. </w:t>
      </w:r>
    </w:p>
    <w:p w:rsidR="002142C8" w:rsidP="00020A4A" w:rsidRDefault="002142C8" w14:paraId="786D8DCE" w14:textId="03279BCF">
      <w:pPr>
        <w:pStyle w:val="Default"/>
        <w:numPr>
          <w:ilvl w:val="0"/>
          <w:numId w:val="39"/>
        </w:numPr>
        <w:spacing w:after="120"/>
        <w:rPr>
          <w:sz w:val="22"/>
          <w:szCs w:val="22"/>
        </w:rPr>
      </w:pPr>
      <w:r w:rsidRPr="0A4FA629" w:rsidR="002142C8">
        <w:rPr>
          <w:sz w:val="22"/>
          <w:szCs w:val="22"/>
        </w:rPr>
        <w:t xml:space="preserve">Submit the application to NACCHO by </w:t>
      </w:r>
      <w:r w:rsidRPr="0A4FA629" w:rsidR="008E3833">
        <w:rPr>
          <w:b w:val="1"/>
          <w:bCs w:val="1"/>
          <w:sz w:val="22"/>
          <w:szCs w:val="22"/>
        </w:rPr>
        <w:t>February 1</w:t>
      </w:r>
      <w:r w:rsidRPr="0A4FA629" w:rsidR="472E518F">
        <w:rPr>
          <w:b w:val="1"/>
          <w:bCs w:val="1"/>
          <w:sz w:val="22"/>
          <w:szCs w:val="22"/>
        </w:rPr>
        <w:t>8</w:t>
      </w:r>
      <w:r w:rsidRPr="0A4FA629" w:rsidR="008E3833">
        <w:rPr>
          <w:b w:val="1"/>
          <w:bCs w:val="1"/>
          <w:sz w:val="22"/>
          <w:szCs w:val="22"/>
          <w:vertAlign w:val="superscript"/>
        </w:rPr>
        <w:t>th</w:t>
      </w:r>
      <w:r w:rsidRPr="0A4FA629" w:rsidR="002142C8">
        <w:rPr>
          <w:b w:val="1"/>
          <w:bCs w:val="1"/>
          <w:sz w:val="22"/>
          <w:szCs w:val="22"/>
        </w:rPr>
        <w:t xml:space="preserve">, </w:t>
      </w:r>
      <w:proofErr w:type="gramStart"/>
      <w:r w:rsidRPr="0A4FA629" w:rsidR="00F867EA">
        <w:rPr>
          <w:b w:val="1"/>
          <w:bCs w:val="1"/>
          <w:sz w:val="22"/>
          <w:szCs w:val="22"/>
        </w:rPr>
        <w:t>2022</w:t>
      </w:r>
      <w:proofErr w:type="gramEnd"/>
      <w:r w:rsidRPr="0A4FA629" w:rsidR="00F867EA">
        <w:rPr>
          <w:b w:val="1"/>
          <w:bCs w:val="1"/>
          <w:sz w:val="22"/>
          <w:szCs w:val="22"/>
        </w:rPr>
        <w:t xml:space="preserve"> </w:t>
      </w:r>
      <w:r w:rsidRPr="0A4FA629" w:rsidR="002142C8">
        <w:rPr>
          <w:b w:val="1"/>
          <w:bCs w:val="1"/>
          <w:sz w:val="22"/>
          <w:szCs w:val="22"/>
        </w:rPr>
        <w:t xml:space="preserve">at 5:00pm ET. </w:t>
      </w:r>
      <w:r w:rsidRPr="0A4FA629" w:rsidR="002142C8">
        <w:rPr>
          <w:sz w:val="22"/>
          <w:szCs w:val="22"/>
        </w:rPr>
        <w:t xml:space="preserve">Submissions after this deadline will not be considered. </w:t>
      </w:r>
      <w:r w:rsidRPr="0A4FA629" w:rsidR="002142C8">
        <w:rPr>
          <w:b w:val="1"/>
          <w:bCs w:val="1"/>
          <w:sz w:val="22"/>
          <w:szCs w:val="22"/>
        </w:rPr>
        <w:t xml:space="preserve">Please submit your application using NACCHO’s online portal </w:t>
      </w:r>
      <w:hyperlink r:id="Raa8e8a137f8d48f3">
        <w:r w:rsidRPr="0A4FA629" w:rsidR="002142C8">
          <w:rPr>
            <w:rStyle w:val="Hyperlink"/>
            <w:b w:val="1"/>
            <w:bCs w:val="1"/>
            <w:sz w:val="22"/>
            <w:szCs w:val="22"/>
          </w:rPr>
          <w:t>here</w:t>
        </w:r>
      </w:hyperlink>
      <w:r w:rsidRPr="0A4FA629" w:rsidR="002142C8">
        <w:rPr>
          <w:b w:val="1"/>
          <w:bCs w:val="1"/>
          <w:color w:val="0000FF"/>
          <w:sz w:val="22"/>
          <w:szCs w:val="22"/>
        </w:rPr>
        <w:t>.</w:t>
      </w:r>
      <w:r w:rsidRPr="0A4FA629" w:rsidR="002142C8">
        <w:rPr>
          <w:b w:val="1"/>
          <w:bCs w:val="1"/>
          <w:sz w:val="22"/>
          <w:szCs w:val="22"/>
        </w:rPr>
        <w:t xml:space="preserve"> </w:t>
      </w:r>
      <w:r w:rsidRPr="0A4FA629" w:rsidR="002142C8">
        <w:rPr>
          <w:sz w:val="22"/>
          <w:szCs w:val="22"/>
        </w:rPr>
        <w:t xml:space="preserve">NACCHO will confirm receipt of all </w:t>
      </w:r>
      <w:r w:rsidRPr="0A4FA629" w:rsidR="0426C793">
        <w:rPr>
          <w:sz w:val="22"/>
          <w:szCs w:val="22"/>
        </w:rPr>
        <w:t xml:space="preserve">  </w:t>
      </w:r>
      <w:r w:rsidRPr="0A4FA629" w:rsidR="002142C8">
        <w:rPr>
          <w:sz w:val="22"/>
          <w:szCs w:val="22"/>
        </w:rPr>
        <w:t xml:space="preserve">applications within two business days, however, confirmation of receipt does not guarantee verification of completeness. Please note that to gain access to the submission portal, applicants will need to create a NACCHO.org account if they do not already have one. </w:t>
      </w:r>
    </w:p>
    <w:p w:rsidRPr="00370695" w:rsidR="002142C8" w:rsidP="00CD015C" w:rsidRDefault="002142C8" w14:paraId="1CAB669C" w14:textId="7B163989">
      <w:pPr>
        <w:pStyle w:val="Default"/>
        <w:numPr>
          <w:ilvl w:val="0"/>
          <w:numId w:val="39"/>
        </w:numPr>
        <w:rPr>
          <w:sz w:val="22"/>
          <w:szCs w:val="22"/>
        </w:rPr>
      </w:pPr>
      <w:r>
        <w:rPr>
          <w:sz w:val="22"/>
          <w:szCs w:val="22"/>
        </w:rPr>
        <w:t xml:space="preserve">The </w:t>
      </w:r>
      <w:r w:rsidR="004F129F">
        <w:rPr>
          <w:sz w:val="22"/>
          <w:szCs w:val="22"/>
        </w:rPr>
        <w:t xml:space="preserve">submitted </w:t>
      </w:r>
      <w:r>
        <w:rPr>
          <w:sz w:val="22"/>
          <w:szCs w:val="22"/>
        </w:rPr>
        <w:t xml:space="preserve">application must include the following items to be deemed complete: </w:t>
      </w:r>
    </w:p>
    <w:p w:rsidR="002142C8" w:rsidP="002142C8" w:rsidRDefault="002142C8" w14:paraId="768C334E" w14:textId="77777777">
      <w:pPr>
        <w:pStyle w:val="Default"/>
        <w:numPr>
          <w:ilvl w:val="1"/>
          <w:numId w:val="39"/>
        </w:numPr>
        <w:rPr>
          <w:sz w:val="22"/>
          <w:szCs w:val="22"/>
        </w:rPr>
      </w:pPr>
      <w:r>
        <w:rPr>
          <w:sz w:val="22"/>
          <w:szCs w:val="22"/>
        </w:rPr>
        <w:t xml:space="preserve">A brief narrative that addresses the three domains described below: Statement of Need and Impact of COVID-19, Current Work, and Reflection of SPACECAT results. </w:t>
      </w:r>
    </w:p>
    <w:p w:rsidR="002142C8" w:rsidP="00C93E0E" w:rsidRDefault="00AD581C" w14:paraId="7B991FDC" w14:textId="5BC8D4E7">
      <w:pPr>
        <w:pStyle w:val="Default"/>
        <w:numPr>
          <w:ilvl w:val="1"/>
          <w:numId w:val="39"/>
        </w:numPr>
        <w:rPr>
          <w:sz w:val="22"/>
          <w:szCs w:val="22"/>
        </w:rPr>
      </w:pPr>
      <w:r>
        <w:rPr>
          <w:sz w:val="22"/>
          <w:szCs w:val="22"/>
        </w:rPr>
        <w:t xml:space="preserve">Anticipated budget </w:t>
      </w:r>
      <w:r w:rsidR="002142C8">
        <w:rPr>
          <w:sz w:val="22"/>
          <w:szCs w:val="22"/>
        </w:rPr>
        <w:t>(template provided) and budget narrative</w:t>
      </w:r>
      <w:r w:rsidR="00370695">
        <w:rPr>
          <w:sz w:val="22"/>
          <w:szCs w:val="22"/>
        </w:rPr>
        <w:t xml:space="preserve">. </w:t>
      </w:r>
      <w:r w:rsidR="002142C8">
        <w:rPr>
          <w:sz w:val="22"/>
          <w:szCs w:val="22"/>
        </w:rPr>
        <w:t xml:space="preserve"> </w:t>
      </w:r>
    </w:p>
    <w:p w:rsidRPr="007639ED" w:rsidR="002142C8" w:rsidP="00C93E0E" w:rsidRDefault="007639ED" w14:paraId="3C6823BF" w14:textId="657568B7">
      <w:pPr>
        <w:pStyle w:val="Default"/>
        <w:numPr>
          <w:ilvl w:val="1"/>
          <w:numId w:val="39"/>
        </w:numPr>
        <w:rPr>
          <w:sz w:val="22"/>
          <w:szCs w:val="22"/>
        </w:rPr>
      </w:pPr>
      <w:r>
        <w:rPr>
          <w:sz w:val="22"/>
          <w:szCs w:val="22"/>
        </w:rPr>
        <w:t>All c</w:t>
      </w:r>
      <w:r w:rsidRPr="007639ED" w:rsidR="002142C8">
        <w:rPr>
          <w:sz w:val="22"/>
          <w:szCs w:val="22"/>
        </w:rPr>
        <w:t>ompleted attachments</w:t>
      </w:r>
      <w:r w:rsidR="004844B3">
        <w:rPr>
          <w:sz w:val="22"/>
          <w:szCs w:val="22"/>
        </w:rPr>
        <w:t xml:space="preserve"> including a copy of </w:t>
      </w:r>
      <w:r w:rsidR="00370695">
        <w:rPr>
          <w:sz w:val="22"/>
          <w:szCs w:val="22"/>
        </w:rPr>
        <w:t>the LHD</w:t>
      </w:r>
      <w:r w:rsidR="00AD581C">
        <w:rPr>
          <w:sz w:val="22"/>
          <w:szCs w:val="22"/>
        </w:rPr>
        <w:t>’</w:t>
      </w:r>
      <w:r w:rsidR="00370695">
        <w:rPr>
          <w:sz w:val="22"/>
          <w:szCs w:val="22"/>
        </w:rPr>
        <w:t>s SPACECAT results.</w:t>
      </w:r>
    </w:p>
    <w:p w:rsidRPr="00C4459D" w:rsidR="002142C8" w:rsidP="00C93E0E" w:rsidRDefault="002142C8" w14:paraId="023034BA" w14:textId="77777777">
      <w:pPr>
        <w:pStyle w:val="Default"/>
        <w:numPr>
          <w:ilvl w:val="1"/>
          <w:numId w:val="39"/>
        </w:numPr>
        <w:rPr>
          <w:b/>
          <w:bCs/>
          <w:sz w:val="22"/>
          <w:szCs w:val="22"/>
        </w:rPr>
      </w:pPr>
      <w:r>
        <w:rPr>
          <w:sz w:val="22"/>
          <w:szCs w:val="22"/>
        </w:rPr>
        <w:t xml:space="preserve">The applicant must be registered with the System for Award Management (SAM) and its SAM number. </w:t>
      </w:r>
      <w:r w:rsidRPr="00C4459D">
        <w:rPr>
          <w:b/>
          <w:bCs/>
          <w:sz w:val="22"/>
          <w:szCs w:val="22"/>
        </w:rPr>
        <w:t xml:space="preserve">For applicants without a SAM number, please note that it takes 7-10 business days to receive a number after registration. Please plan accordingly to ensure an active SAM number at the time of submission. </w:t>
      </w:r>
    </w:p>
    <w:p w:rsidR="002142C8" w:rsidP="002142C8" w:rsidRDefault="002142C8" w14:paraId="50BE3E49" w14:textId="77777777">
      <w:pPr>
        <w:pStyle w:val="Default"/>
        <w:rPr>
          <w:rFonts w:cs="Times New Roman" w:asciiTheme="minorHAnsi" w:hAnsiTheme="minorHAnsi"/>
          <w:i/>
          <w:sz w:val="20"/>
          <w:szCs w:val="20"/>
        </w:rPr>
      </w:pPr>
    </w:p>
    <w:p w:rsidRPr="00E9684A" w:rsidR="00870432" w:rsidP="00870432" w:rsidRDefault="00870432" w14:paraId="30FFA67B" w14:textId="53948BB2">
      <w:pPr>
        <w:autoSpaceDE w:val="0"/>
        <w:autoSpaceDN w:val="0"/>
        <w:adjustRightInd w:val="0"/>
        <w:spacing w:after="0" w:line="240" w:lineRule="auto"/>
        <w:rPr>
          <w:rFonts w:ascii="Calibri" w:hAnsi="Calibri" w:cs="Calibri"/>
          <w:color w:val="000000"/>
        </w:rPr>
      </w:pPr>
      <w:r w:rsidRPr="00E9684A">
        <w:rPr>
          <w:rFonts w:ascii="Calibri" w:hAnsi="Calibri" w:cs="Calibri"/>
          <w:color w:val="000000"/>
        </w:rPr>
        <w:t xml:space="preserve">Applicants will be notified of their selection status by e-mail to the project </w:t>
      </w:r>
      <w:r w:rsidRPr="00E9684A" w:rsidR="00655F91">
        <w:rPr>
          <w:rFonts w:ascii="Calibri" w:hAnsi="Calibri" w:cs="Calibri"/>
          <w:color w:val="000000"/>
        </w:rPr>
        <w:t>point</w:t>
      </w:r>
      <w:r w:rsidR="00655F91">
        <w:rPr>
          <w:rFonts w:ascii="Calibri" w:hAnsi="Calibri" w:cs="Calibri"/>
          <w:color w:val="000000"/>
        </w:rPr>
        <w:t>-</w:t>
      </w:r>
      <w:r w:rsidRPr="00E9684A" w:rsidR="00655F91">
        <w:rPr>
          <w:rFonts w:ascii="Calibri" w:hAnsi="Calibri" w:cs="Calibri"/>
          <w:color w:val="000000"/>
        </w:rPr>
        <w:t>of</w:t>
      </w:r>
      <w:r w:rsidR="00655F91">
        <w:rPr>
          <w:rFonts w:ascii="Calibri" w:hAnsi="Calibri" w:cs="Calibri"/>
          <w:color w:val="000000"/>
        </w:rPr>
        <w:t>-</w:t>
      </w:r>
      <w:r w:rsidRPr="00E9684A">
        <w:rPr>
          <w:rFonts w:ascii="Calibri" w:hAnsi="Calibri" w:cs="Calibri"/>
          <w:color w:val="000000"/>
        </w:rPr>
        <w:t>contact on or around</w:t>
      </w:r>
      <w:r w:rsidR="00686049">
        <w:rPr>
          <w:rFonts w:ascii="Calibri" w:hAnsi="Calibri" w:cs="Calibri"/>
          <w:color w:val="000000"/>
        </w:rPr>
        <w:t xml:space="preserve"> Monday, February </w:t>
      </w:r>
      <w:r w:rsidR="00C4459D">
        <w:rPr>
          <w:rFonts w:ascii="Calibri" w:hAnsi="Calibri" w:cs="Calibri"/>
          <w:color w:val="000000"/>
        </w:rPr>
        <w:t>28</w:t>
      </w:r>
      <w:r w:rsidRPr="005724DE" w:rsidR="005724DE">
        <w:rPr>
          <w:rFonts w:ascii="Calibri" w:hAnsi="Calibri" w:cs="Calibri"/>
          <w:color w:val="000000"/>
          <w:vertAlign w:val="superscript"/>
        </w:rPr>
        <w:t>th</w:t>
      </w:r>
      <w:r w:rsidR="005724DE">
        <w:rPr>
          <w:rFonts w:ascii="Calibri" w:hAnsi="Calibri" w:cs="Calibri"/>
          <w:color w:val="000000"/>
        </w:rPr>
        <w:t>,</w:t>
      </w:r>
      <w:r w:rsidR="00686049">
        <w:rPr>
          <w:rFonts w:ascii="Calibri" w:hAnsi="Calibri" w:cs="Calibri"/>
          <w:color w:val="000000"/>
        </w:rPr>
        <w:t xml:space="preserve"> 202</w:t>
      </w:r>
      <w:r w:rsidRPr="005724DE" w:rsidR="00686049">
        <w:rPr>
          <w:rFonts w:ascii="Calibri" w:hAnsi="Calibri" w:cs="Calibri"/>
          <w:color w:val="000000"/>
        </w:rPr>
        <w:t>2</w:t>
      </w:r>
      <w:r w:rsidRPr="00CD015C">
        <w:rPr>
          <w:rFonts w:ascii="Calibri" w:hAnsi="Calibri" w:cs="Calibri"/>
          <w:b/>
          <w:bCs/>
          <w:color w:val="000000"/>
        </w:rPr>
        <w:t>.</w:t>
      </w:r>
      <w:r>
        <w:rPr>
          <w:rFonts w:ascii="Calibri" w:hAnsi="Calibri" w:cs="Calibri"/>
          <w:b/>
          <w:bCs/>
          <w:color w:val="000000"/>
        </w:rPr>
        <w:t xml:space="preserve"> </w:t>
      </w:r>
      <w:r w:rsidRPr="00E9684A">
        <w:rPr>
          <w:rFonts w:ascii="Calibri" w:hAnsi="Calibri" w:cs="Calibri"/>
          <w:color w:val="000000"/>
        </w:rPr>
        <w:t xml:space="preserve">Selected applicants will be required to confirm participation and agreement with the contract scope of work after receiving a notification. The designated </w:t>
      </w:r>
      <w:r w:rsidRPr="00E9684A" w:rsidR="00686049">
        <w:rPr>
          <w:rFonts w:ascii="Calibri" w:hAnsi="Calibri" w:cs="Calibri"/>
          <w:color w:val="000000"/>
        </w:rPr>
        <w:t>point</w:t>
      </w:r>
      <w:r w:rsidR="00686049">
        <w:rPr>
          <w:rFonts w:ascii="Calibri" w:hAnsi="Calibri" w:cs="Calibri"/>
          <w:color w:val="000000"/>
        </w:rPr>
        <w:t>-</w:t>
      </w:r>
      <w:r w:rsidRPr="00E9684A" w:rsidR="00686049">
        <w:rPr>
          <w:rFonts w:ascii="Calibri" w:hAnsi="Calibri" w:cs="Calibri"/>
          <w:color w:val="000000"/>
        </w:rPr>
        <w:t>of</w:t>
      </w:r>
      <w:r w:rsidR="00686049">
        <w:rPr>
          <w:rFonts w:ascii="Calibri" w:hAnsi="Calibri" w:cs="Calibri"/>
          <w:color w:val="000000"/>
        </w:rPr>
        <w:t>-</w:t>
      </w:r>
      <w:r w:rsidRPr="00E9684A">
        <w:rPr>
          <w:rFonts w:ascii="Calibri" w:hAnsi="Calibri" w:cs="Calibri"/>
          <w:color w:val="000000"/>
        </w:rPr>
        <w:t xml:space="preserve">contact for selection must be available to receive and respond to the notification in a timely manner. </w:t>
      </w:r>
    </w:p>
    <w:p w:rsidRPr="00870432" w:rsidR="00870432" w:rsidP="00870432" w:rsidRDefault="00870432" w14:paraId="5BDF239C" w14:textId="77777777">
      <w:pPr>
        <w:pStyle w:val="Default"/>
        <w:rPr>
          <w:rFonts w:eastAsia="Calibri"/>
          <w:color w:val="000000" w:themeColor="text1"/>
          <w:sz w:val="22"/>
          <w:szCs w:val="22"/>
        </w:rPr>
      </w:pPr>
    </w:p>
    <w:p w:rsidRPr="00C93E0E" w:rsidR="00E7722C" w:rsidP="001D0657" w:rsidRDefault="00E7722C" w14:paraId="12F7D9EC" w14:textId="3BDF3642">
      <w:pPr>
        <w:pStyle w:val="ListParagraph"/>
      </w:pPr>
    </w:p>
    <w:p w:rsidRPr="00C93E0E" w:rsidR="00244FD3" w:rsidP="00244FD3" w:rsidRDefault="00244FD3" w14:paraId="45F6493D" w14:textId="27F5A56C">
      <w:pPr>
        <w:ind w:left="360"/>
      </w:pPr>
      <w:r w:rsidRPr="00C93E0E">
        <w:t>Appendix A –</w:t>
      </w:r>
      <w:r w:rsidR="004612E5">
        <w:t xml:space="preserve">Contractor </w:t>
      </w:r>
      <w:r w:rsidRPr="00C93E0E">
        <w:t xml:space="preserve">Agreement </w:t>
      </w:r>
    </w:p>
    <w:p w:rsidRPr="00C93E0E" w:rsidR="00244FD3" w:rsidP="00244FD3" w:rsidRDefault="00244FD3" w14:paraId="4E977FF6" w14:textId="72D605AB">
      <w:pPr>
        <w:ind w:left="360"/>
      </w:pPr>
      <w:r w:rsidRPr="00C93E0E">
        <w:t xml:space="preserve">Appendix B – List of unallowable costs </w:t>
      </w:r>
    </w:p>
    <w:p w:rsidRPr="00C93E0E" w:rsidR="00262F7A" w:rsidP="00D37FBB" w:rsidRDefault="00262F7A" w14:paraId="01327E2C" w14:textId="77777777">
      <w:pPr>
        <w:pStyle w:val="Default"/>
        <w:rPr>
          <w:b/>
          <w:bCs/>
          <w:smallCaps/>
          <w:color w:val="244061" w:themeColor="accent1" w:themeShade="80"/>
          <w:sz w:val="22"/>
          <w:szCs w:val="22"/>
          <w:u w:val="single"/>
        </w:rPr>
      </w:pPr>
    </w:p>
    <w:p w:rsidR="00262F7A" w:rsidP="00D37FBB" w:rsidRDefault="00262F7A" w14:paraId="09E1D70B" w14:textId="77777777">
      <w:pPr>
        <w:pStyle w:val="Default"/>
        <w:rPr>
          <w:b/>
          <w:bCs/>
          <w:smallCaps/>
          <w:color w:val="244061" w:themeColor="accent1" w:themeShade="80"/>
          <w:sz w:val="52"/>
          <w:szCs w:val="52"/>
          <w:u w:val="single"/>
        </w:rPr>
      </w:pPr>
    </w:p>
    <w:p w:rsidR="00814607" w:rsidP="00D37FBB" w:rsidRDefault="00814607" w14:paraId="3ABD17E8" w14:textId="77777777">
      <w:pPr>
        <w:pStyle w:val="Default"/>
        <w:rPr>
          <w:b/>
          <w:bCs/>
          <w:smallCaps/>
          <w:color w:val="244061" w:themeColor="accent1" w:themeShade="80"/>
          <w:sz w:val="52"/>
          <w:szCs w:val="52"/>
          <w:u w:val="single"/>
        </w:rPr>
      </w:pPr>
    </w:p>
    <w:p w:rsidR="00370695" w:rsidP="00D37FBB" w:rsidRDefault="00370695" w14:paraId="79F97A4D" w14:textId="77777777">
      <w:pPr>
        <w:pStyle w:val="Default"/>
        <w:rPr>
          <w:b/>
          <w:bCs/>
          <w:smallCaps/>
          <w:color w:val="244061" w:themeColor="accent1" w:themeShade="80"/>
          <w:sz w:val="52"/>
          <w:szCs w:val="52"/>
          <w:u w:val="single"/>
        </w:rPr>
      </w:pPr>
    </w:p>
    <w:p w:rsidR="00370695" w:rsidP="00D37FBB" w:rsidRDefault="00370695" w14:paraId="2F44D437" w14:textId="77777777">
      <w:pPr>
        <w:pStyle w:val="Default"/>
        <w:rPr>
          <w:b/>
          <w:bCs/>
          <w:smallCaps/>
          <w:color w:val="244061" w:themeColor="accent1" w:themeShade="80"/>
          <w:sz w:val="52"/>
          <w:szCs w:val="52"/>
          <w:u w:val="single"/>
        </w:rPr>
      </w:pPr>
    </w:p>
    <w:p w:rsidR="00C4459D" w:rsidRDefault="00C4459D" w14:paraId="6636DBA0" w14:textId="118E3D99">
      <w:pPr>
        <w:rPr>
          <w:rFonts w:ascii="Calibri" w:hAnsi="Calibri" w:cs="Calibri"/>
          <w:b/>
          <w:bCs/>
          <w:smallCaps/>
          <w:color w:val="244061" w:themeColor="accent1" w:themeShade="80"/>
          <w:sz w:val="52"/>
          <w:szCs w:val="52"/>
          <w:u w:val="single"/>
        </w:rPr>
      </w:pPr>
      <w:r>
        <w:rPr>
          <w:b/>
          <w:bCs/>
          <w:smallCaps/>
          <w:color w:val="244061" w:themeColor="accent1" w:themeShade="80"/>
          <w:sz w:val="52"/>
          <w:szCs w:val="52"/>
          <w:u w:val="single"/>
        </w:rPr>
        <w:br w:type="page"/>
      </w:r>
    </w:p>
    <w:p w:rsidRPr="00DD224C" w:rsidR="00DD224C" w:rsidP="00D37FBB" w:rsidRDefault="00DD224C" w14:paraId="365B4E8A" w14:textId="1518746B">
      <w:pPr>
        <w:pStyle w:val="Default"/>
        <w:rPr>
          <w:b/>
          <w:bCs/>
          <w:smallCaps/>
          <w:color w:val="244061" w:themeColor="accent1" w:themeShade="80"/>
          <w:sz w:val="52"/>
          <w:szCs w:val="52"/>
          <w:u w:val="single"/>
        </w:rPr>
      </w:pPr>
      <w:r w:rsidRPr="00DD224C">
        <w:rPr>
          <w:b/>
          <w:bCs/>
          <w:smallCaps/>
          <w:color w:val="244061" w:themeColor="accent1" w:themeShade="80"/>
          <w:sz w:val="52"/>
          <w:szCs w:val="52"/>
          <w:u w:val="single"/>
        </w:rPr>
        <w:t>Appendices</w:t>
      </w:r>
    </w:p>
    <w:p w:rsidR="00DD224C" w:rsidP="00F93039" w:rsidRDefault="00DD224C" w14:paraId="67E0C551" w14:textId="24FC3A7D">
      <w:pPr>
        <w:rPr>
          <w:sz w:val="24"/>
          <w:szCs w:val="24"/>
        </w:rPr>
      </w:pPr>
    </w:p>
    <w:p w:rsidR="00661618" w:rsidP="00F93039" w:rsidRDefault="00661618" w14:paraId="464BC6F2" w14:textId="77777777">
      <w:pPr>
        <w:kinsoku w:val="0"/>
        <w:overflowPunct w:val="0"/>
        <w:autoSpaceDE w:val="0"/>
        <w:autoSpaceDN w:val="0"/>
        <w:adjustRightInd w:val="0"/>
        <w:spacing w:after="0" w:line="204" w:lineRule="exact"/>
        <w:ind w:left="267"/>
        <w:jc w:val="center"/>
        <w:outlineLvl w:val="0"/>
        <w:rPr>
          <w:rFonts w:ascii="Times New Roman" w:hAnsi="Times New Roman" w:cs="Times New Roman"/>
          <w:b/>
          <w:bCs/>
          <w:spacing w:val="-3"/>
          <w:sz w:val="20"/>
          <w:szCs w:val="20"/>
        </w:rPr>
      </w:pPr>
    </w:p>
    <w:p w:rsidRPr="00551EDA" w:rsidR="0090689D" w:rsidP="0090689D" w:rsidRDefault="0090689D" w14:paraId="039AB3F4" w14:textId="77777777">
      <w:pPr>
        <w:pStyle w:val="paragraph"/>
        <w:spacing w:before="0" w:beforeAutospacing="0" w:after="0" w:afterAutospacing="0"/>
        <w:textAlignment w:val="baseline"/>
        <w:rPr>
          <w:rFonts w:ascii="Segoe UI" w:hAnsi="Segoe UI" w:cs="Segoe UI"/>
          <w:b/>
          <w:bCs/>
          <w:color w:val="000000"/>
          <w:sz w:val="18"/>
          <w:szCs w:val="18"/>
        </w:rPr>
      </w:pPr>
      <w:r w:rsidRPr="00551EDA">
        <w:rPr>
          <w:rStyle w:val="normaltextrun"/>
          <w:b/>
          <w:bCs/>
        </w:rPr>
        <w:t>APPENDIX A</w:t>
      </w:r>
      <w:r w:rsidRPr="00551EDA">
        <w:rPr>
          <w:rStyle w:val="eop"/>
          <w:b/>
          <w:bCs/>
        </w:rPr>
        <w:t> </w:t>
      </w:r>
    </w:p>
    <w:p w:rsidR="0090689D" w:rsidP="0090689D" w:rsidRDefault="0090689D" w14:paraId="60F649E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37E91A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CONTRACTOR AGREEMENT</w:t>
      </w:r>
      <w:r>
        <w:rPr>
          <w:rStyle w:val="eop"/>
        </w:rPr>
        <w:t> </w:t>
      </w:r>
    </w:p>
    <w:p w:rsidR="0090689D" w:rsidP="0090689D" w:rsidRDefault="0090689D" w14:paraId="09A60F2E"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2A11FF1"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This Contractor Agreement is entered into, effective as of the date of the later signature indicated below, by and between the National Association of County and City Health Officials (hereinafter referred to as “NACCHO”), with its principal place of business at 1201 (I) Eye Street NW 4th Fl., Washington, DC 20005, and [insert name of Contractor] (hereinafter referred to as “Contractor”), with its principal place of business at [insert mailing address of Contractor].</w:t>
      </w:r>
      <w:r>
        <w:rPr>
          <w:rStyle w:val="eop"/>
        </w:rPr>
        <w:t> </w:t>
      </w:r>
    </w:p>
    <w:p w:rsidR="0090689D" w:rsidP="0090689D" w:rsidRDefault="0090689D" w14:paraId="3A533E49"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6895947"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WHEREAS, NACCHO wishes to hire Contractor to provide certain goods and/or services to NACCHO;</w:t>
      </w:r>
      <w:r>
        <w:rPr>
          <w:rStyle w:val="eop"/>
        </w:rPr>
        <w:t> </w:t>
      </w:r>
    </w:p>
    <w:p w:rsidR="0090689D" w:rsidP="0090689D" w:rsidRDefault="0090689D" w14:paraId="7E32BBB3"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B57CA18"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WHEREAS, Contractor wishes to provide such goods and/or services to NACCHO;</w:t>
      </w:r>
      <w:r>
        <w:rPr>
          <w:rStyle w:val="eop"/>
        </w:rPr>
        <w:t> </w:t>
      </w:r>
    </w:p>
    <w:p w:rsidR="0090689D" w:rsidP="0090689D" w:rsidRDefault="0090689D" w14:paraId="71F0F586"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4080ACB"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NOW, THEREFORE, for good and valuable consideration, the receipt and sufficiency of which is hereby acknowledged, the parties, intending to be legally bound, do hereby agree as follows:</w:t>
      </w:r>
      <w:r>
        <w:rPr>
          <w:rStyle w:val="eop"/>
        </w:rPr>
        <w:t> </w:t>
      </w:r>
    </w:p>
    <w:p w:rsidR="0090689D" w:rsidP="0090689D" w:rsidRDefault="0090689D" w14:paraId="0392E3FE"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5413D5F"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ARTICLE I:  SPECIAL PROVISIONS</w:t>
      </w:r>
      <w:r>
        <w:rPr>
          <w:rStyle w:val="eop"/>
        </w:rPr>
        <w:t> </w:t>
      </w:r>
    </w:p>
    <w:p w:rsidR="0090689D" w:rsidP="0090689D" w:rsidRDefault="0090689D" w14:paraId="22DC44E6"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74BE7C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w:t>
      </w:r>
      <w:r>
        <w:rPr>
          <w:rStyle w:val="tabchar"/>
          <w:rFonts w:ascii="Calibri" w:hAnsi="Calibri" w:cs="Calibri"/>
        </w:rPr>
        <w:t xml:space="preserve"> </w:t>
      </w:r>
      <w:r>
        <w:rPr>
          <w:rStyle w:val="normaltextrun"/>
        </w:rPr>
        <w:t>PURPOSE OF AGREEMENT:  Contractor agrees to provide the goods and/or services to NACCHO to enhance the programmatic activities of ____ GRANT # ___, CFDA # ____,  as described in Attachment I.  The terms of Attachment I shall be incorporated into this Agreement as if fully set forth herein.  Contractor shall act at all times in a professional manner consistent with the standards of the industry. </w:t>
      </w:r>
      <w:r>
        <w:rPr>
          <w:rStyle w:val="eop"/>
        </w:rPr>
        <w:t> </w:t>
      </w:r>
    </w:p>
    <w:p w:rsidR="0090689D" w:rsidP="0090689D" w:rsidRDefault="0090689D" w14:paraId="36085873"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935F76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w:t>
      </w:r>
      <w:r>
        <w:rPr>
          <w:rStyle w:val="tabchar"/>
          <w:rFonts w:ascii="Calibri" w:hAnsi="Calibri" w:cs="Calibri"/>
        </w:rPr>
        <w:t xml:space="preserve"> </w:t>
      </w:r>
      <w:r>
        <w:rPr>
          <w:rStyle w:val="normaltextrun"/>
        </w:rPr>
        <w:t>TERM OF AGREEMENT:  The term of the Agreement shall begin on (insert date) and shall continue in effect until (insert date), unless earlier terminated in accordance with the terms herein.  Expiration of the term or termination of this Agreement shall not extinguish any rights or obligations of the parties that have accrued prior thereto.  The term of this Agreement may be extended by mutual agreement of the parties.</w:t>
      </w:r>
      <w:r>
        <w:rPr>
          <w:rStyle w:val="eop"/>
        </w:rPr>
        <w:t> </w:t>
      </w:r>
    </w:p>
    <w:p w:rsidR="0090689D" w:rsidP="0090689D" w:rsidRDefault="0090689D" w14:paraId="26625E5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6CA747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3.</w:t>
      </w:r>
      <w:r>
        <w:rPr>
          <w:rStyle w:val="tabchar"/>
          <w:rFonts w:ascii="Calibri" w:hAnsi="Calibri" w:cs="Calibri"/>
        </w:rPr>
        <w:t xml:space="preserve"> </w:t>
      </w:r>
      <w:r>
        <w:rPr>
          <w:rStyle w:val="normaltextrun"/>
        </w:rPr>
        <w:t>PAYMENT FOR SERVICES:  In consideration for professional services to be performed, NACCHO agrees to pay Contractor an amount not to exceed $ #####.00 (enter amount to be paid, either as a flat rate or hourly rate. You should also insert here the time schedule on which the consultant will be paid.  All payments will be made within 30 days of receipt of invoice(s) from Contractor and following approval by NACCHO for approved services, as outlined on Attachment I.  Three invoices must be submitted as follows: </w:t>
      </w:r>
      <w:r>
        <w:rPr>
          <w:rStyle w:val="eop"/>
        </w:rPr>
        <w:t> </w:t>
      </w:r>
    </w:p>
    <w:p w:rsidR="0090689D" w:rsidP="0090689D" w:rsidRDefault="0090689D" w14:paraId="3FE1F36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Invoice No.</w:t>
      </w:r>
      <w:r>
        <w:rPr>
          <w:rStyle w:val="tabchar"/>
          <w:rFonts w:ascii="Calibri" w:hAnsi="Calibri" w:cs="Calibri"/>
        </w:rPr>
        <w:t xml:space="preserve"> </w:t>
      </w:r>
      <w:r>
        <w:rPr>
          <w:rStyle w:val="normaltextrun"/>
        </w:rPr>
        <w:t>Amount</w:t>
      </w:r>
      <w:r>
        <w:rPr>
          <w:rStyle w:val="tabchar"/>
          <w:rFonts w:ascii="Calibri" w:hAnsi="Calibri" w:cs="Calibri"/>
        </w:rPr>
        <w:t xml:space="preserve"> </w:t>
      </w:r>
      <w:r>
        <w:rPr>
          <w:rStyle w:val="normaltextrun"/>
        </w:rPr>
        <w:t>Deliverable</w:t>
      </w:r>
      <w:r>
        <w:rPr>
          <w:rStyle w:val="tabchar"/>
          <w:rFonts w:ascii="Calibri" w:hAnsi="Calibri" w:cs="Calibri"/>
        </w:rPr>
        <w:t xml:space="preserve"> </w:t>
      </w:r>
      <w:r>
        <w:rPr>
          <w:rStyle w:val="normaltextrun"/>
        </w:rPr>
        <w:t>Due date</w:t>
      </w:r>
      <w:r>
        <w:rPr>
          <w:rStyle w:val="eop"/>
        </w:rPr>
        <w:t> </w:t>
      </w:r>
    </w:p>
    <w:p w:rsidR="0090689D" w:rsidP="0090689D" w:rsidRDefault="0090689D" w14:paraId="5A43CD3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Invoice I</w:t>
      </w:r>
      <w:r>
        <w:rPr>
          <w:rStyle w:val="tabchar"/>
          <w:rFonts w:ascii="Calibri" w:hAnsi="Calibri" w:cs="Calibri"/>
        </w:rPr>
        <w:t xml:space="preserve"> </w:t>
      </w:r>
      <w:r>
        <w:rPr>
          <w:rStyle w:val="eop"/>
        </w:rPr>
        <w:t> </w:t>
      </w:r>
    </w:p>
    <w:p w:rsidR="0090689D" w:rsidP="0090689D" w:rsidRDefault="0090689D" w14:paraId="7625DC6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Invoice II</w:t>
      </w:r>
      <w:r>
        <w:rPr>
          <w:rStyle w:val="tabchar"/>
          <w:rFonts w:ascii="Calibri" w:hAnsi="Calibri" w:cs="Calibri"/>
        </w:rPr>
        <w:t xml:space="preserve"> </w:t>
      </w:r>
      <w:r>
        <w:rPr>
          <w:rStyle w:val="eop"/>
        </w:rPr>
        <w:t> </w:t>
      </w:r>
    </w:p>
    <w:p w:rsidR="0090689D" w:rsidP="0090689D" w:rsidRDefault="0090689D" w14:paraId="25843DB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Invoice III</w:t>
      </w:r>
      <w:r>
        <w:rPr>
          <w:rStyle w:val="tabchar"/>
          <w:rFonts w:ascii="Calibri" w:hAnsi="Calibri" w:cs="Calibri"/>
        </w:rPr>
        <w:t xml:space="preserve"> </w:t>
      </w:r>
      <w:r>
        <w:rPr>
          <w:rStyle w:val="eop"/>
        </w:rPr>
        <w:t> </w:t>
      </w:r>
    </w:p>
    <w:p w:rsidR="0090689D" w:rsidP="0090689D" w:rsidRDefault="0090689D" w14:paraId="5D3FA20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(insert time increment). (May be “monthly” or after completion of specific activities, etc. The fewer payment invoices to process the better and the more you can pay later the better!).  </w:t>
      </w:r>
      <w:r>
        <w:rPr>
          <w:rStyle w:val="eop"/>
        </w:rPr>
        <w:t> </w:t>
      </w:r>
    </w:p>
    <w:p w:rsidR="0090689D" w:rsidP="0090689D" w:rsidRDefault="0090689D" w14:paraId="6D3750D0"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E2421D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NACCHO award number must be included on all invoices. Unless otherwise expressly stated in this Agreement, all amounts specified in, and all payments to be made under, this Agreement shall be in United States Dollars. The parties agree that payment method shall be made by check, via postage-paid first class mail, at the address for the giving of notices as set forth in Section 23 of this Agreement.  Any changes of payment method would require a modification signed by both parties. 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r>
        <w:rPr>
          <w:rStyle w:val="eop"/>
        </w:rPr>
        <w:t> </w:t>
      </w:r>
    </w:p>
    <w:p w:rsidR="0090689D" w:rsidP="0090689D" w:rsidRDefault="0090689D" w14:paraId="4B330CB2"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007AEF8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ARTICLE II:  GENERAL PROVISIONS</w:t>
      </w:r>
      <w:r>
        <w:rPr>
          <w:rStyle w:val="eop"/>
        </w:rPr>
        <w:t> </w:t>
      </w:r>
    </w:p>
    <w:p w:rsidR="0090689D" w:rsidP="0090689D" w:rsidRDefault="0090689D" w14:paraId="07446A09"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6A49A2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w:t>
      </w:r>
      <w:r>
        <w:rPr>
          <w:rStyle w:val="tabchar"/>
          <w:rFonts w:ascii="Calibri" w:hAnsi="Calibri" w:cs="Calibri"/>
        </w:rPr>
        <w:t xml:space="preserve"> </w:t>
      </w:r>
      <w:r>
        <w:rPr>
          <w:rStyle w:val="normaltextrun"/>
        </w:rPr>
        <w:t>INDEPENDENT CONTRACTOR:  Contractor shall act as an independent contractor, and Contractor shall not be entitled to any benefits to which NACCHO employees may be entitled. </w:t>
      </w:r>
      <w:r>
        <w:rPr>
          <w:rStyle w:val="eop"/>
        </w:rPr>
        <w:t> </w:t>
      </w:r>
    </w:p>
    <w:p w:rsidR="0090689D" w:rsidP="0090689D" w:rsidRDefault="0090689D" w14:paraId="53B9FEE7"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174BF5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w:t>
      </w:r>
      <w:r>
        <w:rPr>
          <w:rStyle w:val="tabchar"/>
          <w:rFonts w:ascii="Calibri" w:hAnsi="Calibri" w:cs="Calibri"/>
        </w:rPr>
        <w:t xml:space="preserve"> </w:t>
      </w:r>
      <w:r>
        <w:rPr>
          <w:rStyle w:val="normaltextrun"/>
        </w:rPr>
        <w:t>PAYMENT OF TAXES AND OTHER LEVIES:  Contractor shall be exclusively responsible for reporting and payment of all income tax payments, unemployment insurance, worker's compensation insurance, social security obligations, and similar taxes and levies.</w:t>
      </w:r>
      <w:r>
        <w:rPr>
          <w:rStyle w:val="eop"/>
        </w:rPr>
        <w:t> </w:t>
      </w:r>
    </w:p>
    <w:p w:rsidR="0090689D" w:rsidP="0090689D" w:rsidRDefault="0090689D" w14:paraId="16DCEA6F"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41A73E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3.</w:t>
      </w:r>
      <w:r>
        <w:rPr>
          <w:rStyle w:val="tabchar"/>
          <w:rFonts w:ascii="Calibri" w:hAnsi="Calibri" w:cs="Calibri"/>
        </w:rPr>
        <w:t xml:space="preserve"> </w:t>
      </w:r>
      <w:r>
        <w:rPr>
          <w:rStyle w:val="normaltextrun"/>
        </w:rPr>
        <w:t>LIABILITY:  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r>
        <w:rPr>
          <w:rStyle w:val="eop"/>
        </w:rPr>
        <w:t> </w:t>
      </w:r>
    </w:p>
    <w:p w:rsidR="0090689D" w:rsidP="0090689D" w:rsidRDefault="0090689D" w14:paraId="75DD14A5"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D6DF2D4"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r>
        <w:rPr>
          <w:rStyle w:val="eop"/>
        </w:rPr>
        <w:t> </w:t>
      </w:r>
    </w:p>
    <w:p w:rsidR="0090689D" w:rsidP="0090689D" w:rsidRDefault="0090689D" w14:paraId="3E0996A4"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10E4F370"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r>
        <w:rPr>
          <w:rStyle w:val="eop"/>
        </w:rPr>
        <w:t> </w:t>
      </w:r>
    </w:p>
    <w:p w:rsidR="0090689D" w:rsidP="0090689D" w:rsidRDefault="0090689D" w14:paraId="3A5BCBB5"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EA2A52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4.</w:t>
      </w:r>
      <w:r>
        <w:rPr>
          <w:rStyle w:val="tabchar"/>
          <w:rFonts w:ascii="Calibri" w:hAnsi="Calibri" w:cs="Calibri"/>
        </w:rPr>
        <w:t xml:space="preserve"> </w:t>
      </w:r>
      <w:r>
        <w:rPr>
          <w:rStyle w:val="normaltextrun"/>
        </w:rPr>
        <w:t>REVISIONS AND AMENDMENTS:  Any revisions or amendments to this Agreement must be made in writing and signed by both parties.</w:t>
      </w:r>
      <w:r>
        <w:rPr>
          <w:rStyle w:val="eop"/>
        </w:rPr>
        <w:t> </w:t>
      </w:r>
    </w:p>
    <w:p w:rsidR="0090689D" w:rsidP="0090689D" w:rsidRDefault="0090689D" w14:paraId="70A7F262"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60A929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5.</w:t>
      </w:r>
      <w:r>
        <w:rPr>
          <w:rStyle w:val="tabchar"/>
          <w:rFonts w:ascii="Calibri" w:hAnsi="Calibri" w:cs="Calibri"/>
        </w:rPr>
        <w:t xml:space="preserve"> </w:t>
      </w:r>
      <w:r>
        <w:rPr>
          <w:rStyle w:val="normaltextrun"/>
        </w:rPr>
        <w:t>ASSIGNMENT:  Without prior written consent of NACCHO, Contractor may not assign this Agreement nor delegate any duties herein.</w:t>
      </w:r>
      <w:r>
        <w:rPr>
          <w:rStyle w:val="eop"/>
        </w:rPr>
        <w:t> </w:t>
      </w:r>
    </w:p>
    <w:p w:rsidR="0090689D" w:rsidP="0090689D" w:rsidRDefault="0090689D" w14:paraId="0EA75200"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401900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6.</w:t>
      </w:r>
      <w:r>
        <w:rPr>
          <w:rStyle w:val="tabchar"/>
          <w:rFonts w:ascii="Calibri" w:hAnsi="Calibri" w:cs="Calibri"/>
        </w:rPr>
        <w:t xml:space="preserve"> </w:t>
      </w:r>
      <w:r>
        <w:rPr>
          <w:rStyle w:val="normaltextrun"/>
        </w:rPr>
        <w:t>CONTINGENCY CLAUSE: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r>
        <w:rPr>
          <w:rStyle w:val="eop"/>
        </w:rPr>
        <w:t> </w:t>
      </w:r>
    </w:p>
    <w:p w:rsidR="0090689D" w:rsidP="0090689D" w:rsidRDefault="0090689D" w14:paraId="0B0062EC"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8DFB88D"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7.</w:t>
      </w:r>
      <w:r>
        <w:rPr>
          <w:rStyle w:val="tabchar"/>
          <w:rFonts w:ascii="Calibri" w:hAnsi="Calibri" w:cs="Calibri"/>
        </w:rPr>
        <w:t xml:space="preserve"> </w:t>
      </w:r>
      <w:r>
        <w:rPr>
          <w:rStyle w:val="normaltextrun"/>
        </w:rPr>
        <w:t>INTERFERING CONDITIONS: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r>
        <w:rPr>
          <w:rStyle w:val="eop"/>
        </w:rPr>
        <w:t> </w:t>
      </w:r>
    </w:p>
    <w:p w:rsidR="0090689D" w:rsidP="0090689D" w:rsidRDefault="0090689D" w14:paraId="29B7B145"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071878D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8.</w:t>
      </w:r>
      <w:r>
        <w:rPr>
          <w:rStyle w:val="tabchar"/>
          <w:rFonts w:ascii="Calibri" w:hAnsi="Calibri" w:cs="Calibri"/>
        </w:rPr>
        <w:t xml:space="preserve"> </w:t>
      </w:r>
      <w:r>
        <w:rPr>
          <w:rStyle w:val="normaltextrun"/>
        </w:rPr>
        <w:t>OWNERSHIP OF MATERIALS: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r>
        <w:rPr>
          <w:rStyle w:val="eop"/>
        </w:rPr>
        <w:t> </w:t>
      </w:r>
    </w:p>
    <w:p w:rsidR="0090689D" w:rsidP="0090689D" w:rsidRDefault="0090689D" w14:paraId="50DF87BF"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A678F7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9.</w:t>
      </w:r>
      <w:r>
        <w:rPr>
          <w:rStyle w:val="tabchar"/>
          <w:rFonts w:ascii="Calibri" w:hAnsi="Calibri" w:cs="Calibri"/>
        </w:rPr>
        <w:t xml:space="preserve"> </w:t>
      </w:r>
      <w:r>
        <w:rPr>
          <w:rStyle w:val="normaltextrun"/>
        </w:rPr>
        <w:t>RESOLUTION OF DISPUTES:  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r>
        <w:rPr>
          <w:rStyle w:val="eop"/>
        </w:rPr>
        <w:t> </w:t>
      </w:r>
    </w:p>
    <w:p w:rsidR="0090689D" w:rsidP="0090689D" w:rsidRDefault="0090689D" w14:paraId="61F7A357"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4423C0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10.</w:t>
      </w:r>
      <w:r>
        <w:rPr>
          <w:rStyle w:val="tabchar"/>
          <w:rFonts w:ascii="Calibri" w:hAnsi="Calibri" w:cs="Calibri"/>
        </w:rPr>
        <w:t xml:space="preserve"> </w:t>
      </w:r>
      <w:r>
        <w:rPr>
          <w:rStyle w:val="normaltextrun"/>
        </w:rPr>
        <w:t>TERMINATION:  Either party may terminate this Agreement upon at least fifteen (15) days prior written notice to the other party.  NACCHO will pay Contractor for services rendered through the date of termination.  </w:t>
      </w:r>
      <w:r>
        <w:rPr>
          <w:rStyle w:val="eop"/>
        </w:rPr>
        <w:t> </w:t>
      </w:r>
    </w:p>
    <w:p w:rsidR="0090689D" w:rsidP="0090689D" w:rsidRDefault="0090689D" w14:paraId="2C051F26"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5B88C98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11.</w:t>
      </w:r>
      <w:r>
        <w:rPr>
          <w:rStyle w:val="tabchar"/>
          <w:rFonts w:ascii="Calibri" w:hAnsi="Calibri" w:cs="Calibri"/>
        </w:rPr>
        <w:t xml:space="preserve"> </w:t>
      </w:r>
      <w:r>
        <w:rPr>
          <w:rStyle w:val="normaltextrun"/>
        </w:rPr>
        <w:t>ENTIRE AGREEMENT:  This Agreement contains all agreements, representations, and understandings of the parties regarding the subject matter hereof and supersedes and replaces any and all previous understandings, commitments, or agreements, whether oral or written, regarding such subject matter.</w:t>
      </w:r>
      <w:r>
        <w:rPr>
          <w:rStyle w:val="eop"/>
        </w:rPr>
        <w:t> </w:t>
      </w:r>
    </w:p>
    <w:p w:rsidR="0090689D" w:rsidP="0090689D" w:rsidRDefault="0090689D" w14:paraId="29A8EA69"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50357CD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12.</w:t>
      </w:r>
      <w:r>
        <w:rPr>
          <w:rStyle w:val="tabchar"/>
          <w:rFonts w:ascii="Calibri" w:hAnsi="Calibri" w:cs="Calibri"/>
        </w:rPr>
        <w:t xml:space="preserve"> </w:t>
      </w:r>
      <w:r>
        <w:rPr>
          <w:rStyle w:val="normaltextrun"/>
        </w:rPr>
        <w:t>PARTIAL INVALIDITY: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r>
        <w:rPr>
          <w:rStyle w:val="eop"/>
        </w:rPr>
        <w:t> </w:t>
      </w:r>
    </w:p>
    <w:p w:rsidR="0090689D" w:rsidP="0090689D" w:rsidRDefault="0090689D" w14:paraId="2F03DF09"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290315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13.</w:t>
      </w:r>
      <w:r>
        <w:rPr>
          <w:rStyle w:val="tabchar"/>
          <w:rFonts w:ascii="Calibri" w:hAnsi="Calibri" w:cs="Calibri"/>
        </w:rPr>
        <w:t xml:space="preserve"> </w:t>
      </w:r>
      <w:r>
        <w:rPr>
          <w:rStyle w:val="normaltextrun"/>
        </w:rPr>
        <w:t>GOVERNING LAW:  This Agreement shall be governed by and construed in accordance with the laws of the District of Columbia (without regard to its conflict of law’s provisions).</w:t>
      </w:r>
      <w:r>
        <w:rPr>
          <w:rStyle w:val="eop"/>
        </w:rPr>
        <w:t> </w:t>
      </w:r>
    </w:p>
    <w:p w:rsidR="0090689D" w:rsidP="0090689D" w:rsidRDefault="0090689D" w14:paraId="30C0AA1F"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A4B3BD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14.</w:t>
      </w:r>
      <w:r>
        <w:rPr>
          <w:rStyle w:val="tabchar"/>
          <w:rFonts w:ascii="Calibri" w:hAnsi="Calibri" w:cs="Calibri"/>
        </w:rPr>
        <w:t xml:space="preserve"> </w:t>
      </w:r>
      <w:r>
        <w:rPr>
          <w:rStyle w:val="normaltextrun"/>
        </w:rPr>
        <w:t>ADDITIONAL FUNDING: Unless prior written authorization is received from NACCHO, no additional funds will be allocated to this project for work performed beyond the scope specified or time frame cited in this Agreement. </w:t>
      </w:r>
      <w:r>
        <w:rPr>
          <w:rStyle w:val="eop"/>
        </w:rPr>
        <w:t> </w:t>
      </w:r>
    </w:p>
    <w:p w:rsidR="0090689D" w:rsidP="0090689D" w:rsidRDefault="0090689D" w14:paraId="63441D2B"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71FE7F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15.</w:t>
      </w:r>
      <w:r>
        <w:rPr>
          <w:rStyle w:val="tabchar"/>
          <w:rFonts w:ascii="Calibri" w:hAnsi="Calibri" w:cs="Calibri"/>
        </w:rPr>
        <w:t xml:space="preserve"> </w:t>
      </w:r>
      <w:r>
        <w:rPr>
          <w:rStyle w:val="normaltextrun"/>
        </w:rPr>
        <w:t>REMEDIES FOR MISTAKES:  If work that is prepared by the Contractor contains errors or misinformation, the Contractor will correct error(s) within five business days.  The Contractor will not charge NACCHO for the time it takes to rectify the situation. </w:t>
      </w:r>
      <w:r>
        <w:rPr>
          <w:rStyle w:val="eop"/>
        </w:rPr>
        <w:t> </w:t>
      </w:r>
    </w:p>
    <w:p w:rsidR="0090689D" w:rsidP="0090689D" w:rsidRDefault="0090689D" w14:paraId="2E11E2E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F3B0717"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16.</w:t>
      </w:r>
      <w:r>
        <w:rPr>
          <w:rStyle w:val="tabchar"/>
          <w:rFonts w:ascii="Calibri" w:hAnsi="Calibri" w:cs="Calibri"/>
        </w:rPr>
        <w:t xml:space="preserve"> </w:t>
      </w:r>
      <w:r>
        <w:rPr>
          <w:rStyle w:val="normaltextrun"/>
        </w:rPr>
        <w:t>COMPLIANCE WITH FEDERAL LAWS AND REGULATIONS: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r>
        <w:rPr>
          <w:rStyle w:val="eop"/>
        </w:rPr>
        <w:t> </w:t>
      </w:r>
    </w:p>
    <w:p w:rsidR="0090689D" w:rsidP="0090689D" w:rsidRDefault="0090689D" w14:paraId="168C06A0"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14E6F8F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17.</w:t>
      </w:r>
      <w:r>
        <w:rPr>
          <w:rStyle w:val="tabchar"/>
          <w:rFonts w:ascii="Calibri" w:hAnsi="Calibri" w:cs="Calibri"/>
        </w:rPr>
        <w:t xml:space="preserve"> </w:t>
      </w:r>
      <w:r>
        <w:rPr>
          <w:rStyle w:val="normaltextrun"/>
        </w:rPr>
        <w:t>EQUAL EMPLOYMENT OPPORTUNITY: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r>
        <w:rPr>
          <w:rStyle w:val="eop"/>
        </w:rPr>
        <w:t> </w:t>
      </w:r>
    </w:p>
    <w:p w:rsidR="0090689D" w:rsidP="0090689D" w:rsidRDefault="0090689D" w14:paraId="7BEA41EB"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4EFCFED"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18.</w:t>
      </w:r>
      <w:r>
        <w:rPr>
          <w:rStyle w:val="tabchar"/>
          <w:rFonts w:ascii="Calibri" w:hAnsi="Calibri" w:cs="Calibri"/>
        </w:rPr>
        <w:t xml:space="preserve"> </w:t>
      </w:r>
      <w:r>
        <w:rPr>
          <w:rStyle w:val="normaltextrun"/>
        </w:rPr>
        <w:t>DEBARRED OR SUSPENDED CONTRACTORS:  Pursuant to 2 CFR 200 Subpart C, Contractor will execute no subcontract with parties listed on the General Services Administration's List of Parties Excluded from Federal Procurement or Nonprocurement Programs in accordance with E.O.s 12549 and 12689, "Debarment and Suspension.”</w:t>
      </w:r>
      <w:r>
        <w:rPr>
          <w:rStyle w:val="eop"/>
        </w:rPr>
        <w:t> </w:t>
      </w:r>
    </w:p>
    <w:p w:rsidR="0090689D" w:rsidP="0090689D" w:rsidRDefault="0090689D" w14:paraId="5F08A52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9B535F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19.</w:t>
      </w:r>
      <w:r>
        <w:rPr>
          <w:rStyle w:val="tabchar"/>
          <w:rFonts w:ascii="Calibri" w:hAnsi="Calibri" w:cs="Calibri"/>
        </w:rPr>
        <w:t xml:space="preserve"> </w:t>
      </w:r>
      <w:r>
        <w:rPr>
          <w:rStyle w:val="normaltextrun"/>
        </w:rPr>
        <w:t>LOBBYING RESTRICTIONS AND DISCLOSURES: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r>
        <w:rPr>
          <w:rStyle w:val="eop"/>
        </w:rPr>
        <w:t> </w:t>
      </w:r>
    </w:p>
    <w:p w:rsidR="0090689D" w:rsidP="0090689D" w:rsidRDefault="0090689D" w14:paraId="67E337C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12E0270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C46584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20.</w:t>
      </w:r>
      <w:r>
        <w:rPr>
          <w:rStyle w:val="tabchar"/>
          <w:rFonts w:ascii="Calibri" w:hAnsi="Calibri" w:cs="Calibri"/>
        </w:rPr>
        <w:t xml:space="preserve"> </w:t>
      </w:r>
      <w:r>
        <w:rPr>
          <w:rStyle w:val="normaltextrun"/>
        </w:rPr>
        <w:t>COMPLIANCE WITH FEDERAL ENVIRONMENTAL REGULATIONS: Pursuant to 2 CFR 200 Subpart F , Contractor agrees to comply with all applicable standards, orders or regulations issued pursuant to the Clean Air Act (42 U.S.C. 7401 et seq.) and the Federal Water Pollution Control Act as amended (33 U.S.C. 1251 et seq.).    </w:t>
      </w:r>
      <w:r>
        <w:rPr>
          <w:rStyle w:val="eop"/>
        </w:rPr>
        <w:t> </w:t>
      </w:r>
    </w:p>
    <w:p w:rsidR="0090689D" w:rsidP="0090689D" w:rsidRDefault="0090689D" w14:paraId="71B4F3EE"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5FED963"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21.</w:t>
      </w:r>
      <w:r>
        <w:rPr>
          <w:rStyle w:val="tabchar"/>
          <w:rFonts w:ascii="Calibri" w:hAnsi="Calibri" w:cs="Calibri"/>
        </w:rPr>
        <w:t xml:space="preserve"> </w:t>
      </w:r>
      <w:r>
        <w:rPr>
          <w:rStyle w:val="normaltextrun"/>
        </w:rPr>
        <w:t>WHISTLEBLOWER PROTECTION: Pursuant to 41 U.S.C. 4712 employees of a contractor, subcontractor, or subrecipient will not be discharged, demoted, or otherwise discriminated against as reprisal for “whistleblowing.” </w:t>
      </w:r>
      <w:r>
        <w:rPr>
          <w:rStyle w:val="eop"/>
        </w:rPr>
        <w:t> </w:t>
      </w:r>
    </w:p>
    <w:p w:rsidR="0090689D" w:rsidP="0090689D" w:rsidRDefault="0090689D" w14:paraId="5CE68268"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1225A8A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22.</w:t>
      </w:r>
      <w:r>
        <w:rPr>
          <w:rStyle w:val="tabchar"/>
          <w:rFonts w:ascii="Calibri" w:hAnsi="Calibri" w:cs="Calibri"/>
        </w:rPr>
        <w:t xml:space="preserve"> </w:t>
      </w:r>
      <w:r>
        <w:rPr>
          <w:rStyle w:val="normaltextrun"/>
        </w:rPr>
        <w:t>EXECUTION AND DELIVERY: 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r>
        <w:rPr>
          <w:rStyle w:val="eop"/>
        </w:rPr>
        <w:t> </w:t>
      </w:r>
    </w:p>
    <w:p w:rsidR="0090689D" w:rsidP="0090689D" w:rsidRDefault="0090689D" w14:paraId="49C3AC1D"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2AEBD2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23.</w:t>
      </w:r>
      <w:r>
        <w:rPr>
          <w:rStyle w:val="tabchar"/>
          <w:rFonts w:ascii="Calibri" w:hAnsi="Calibri" w:cs="Calibri"/>
        </w:rPr>
        <w:t xml:space="preserve"> </w:t>
      </w:r>
      <w:r>
        <w:rPr>
          <w:rStyle w:val="normaltextrun"/>
        </w:rPr>
        <w:t>NOTICE: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r>
        <w:rPr>
          <w:rStyle w:val="eop"/>
        </w:rPr>
        <w:t> </w:t>
      </w:r>
    </w:p>
    <w:p w:rsidR="0090689D" w:rsidP="0090689D" w:rsidRDefault="0090689D" w14:paraId="349AB112"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D87D2C9"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eop"/>
        </w:rPr>
        <w:t> </w:t>
      </w:r>
    </w:p>
    <w:p w:rsidR="0090689D" w:rsidP="0090689D" w:rsidRDefault="0090689D" w14:paraId="4EAE3B4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FOR NACCHO:</w:t>
      </w:r>
      <w:r>
        <w:rPr>
          <w:rStyle w:val="eop"/>
        </w:rPr>
        <w:t> </w:t>
      </w:r>
    </w:p>
    <w:p w:rsidR="0090689D" w:rsidP="0090689D" w:rsidRDefault="0090689D" w14:paraId="0D2570A9"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eop"/>
        </w:rPr>
        <w:t> </w:t>
      </w:r>
    </w:p>
    <w:p w:rsidR="0090689D" w:rsidP="0090689D" w:rsidRDefault="0090689D" w14:paraId="705FB0A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      National Association of County and City </w:t>
      </w:r>
      <w:r>
        <w:rPr>
          <w:rStyle w:val="eop"/>
        </w:rPr>
        <w:t> </w:t>
      </w:r>
    </w:p>
    <w:p w:rsidR="0090689D" w:rsidP="0090689D" w:rsidRDefault="0090689D" w14:paraId="2208C56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      Health Officials</w:t>
      </w:r>
      <w:r>
        <w:rPr>
          <w:rStyle w:val="eop"/>
        </w:rPr>
        <w:t> </w:t>
      </w:r>
    </w:p>
    <w:p w:rsidR="0090689D" w:rsidP="0090689D" w:rsidRDefault="0090689D" w14:paraId="458A701D"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Attn: _______________________</w:t>
      </w:r>
      <w:r>
        <w:rPr>
          <w:rStyle w:val="eop"/>
        </w:rPr>
        <w:t> </w:t>
      </w:r>
    </w:p>
    <w:p w:rsidR="0090689D" w:rsidP="0090689D" w:rsidRDefault="0090689D" w14:paraId="6AFBE4FF"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[Name of Program Staff]</w:t>
      </w:r>
      <w:r>
        <w:rPr>
          <w:rStyle w:val="eop"/>
        </w:rPr>
        <w:t> </w:t>
      </w:r>
    </w:p>
    <w:p w:rsidR="0090689D" w:rsidP="0090689D" w:rsidRDefault="0090689D" w14:paraId="5C8CEA05"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1201 (I) Eye Street NW 4th Fl., </w:t>
      </w:r>
      <w:r>
        <w:rPr>
          <w:rStyle w:val="eop"/>
        </w:rPr>
        <w:t> </w:t>
      </w:r>
    </w:p>
    <w:p w:rsidR="0090689D" w:rsidP="0090689D" w:rsidRDefault="0090689D" w14:paraId="24FAA480"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Washington, DC 20005</w:t>
      </w:r>
      <w:r>
        <w:rPr>
          <w:rStyle w:val="eop"/>
        </w:rPr>
        <w:t> </w:t>
      </w:r>
    </w:p>
    <w:p w:rsidR="0090689D" w:rsidP="0090689D" w:rsidRDefault="0090689D" w14:paraId="3E857E71"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Tel. (202) ________________</w:t>
      </w:r>
      <w:r>
        <w:rPr>
          <w:rStyle w:val="eop"/>
        </w:rPr>
        <w:t> </w:t>
      </w:r>
    </w:p>
    <w:p w:rsidR="0090689D" w:rsidP="0090689D" w:rsidRDefault="0090689D" w14:paraId="22509AE1"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Fax (202) 783-1583</w:t>
      </w:r>
      <w:r>
        <w:rPr>
          <w:rStyle w:val="tabchar"/>
          <w:rFonts w:ascii="Calibri" w:hAnsi="Calibri" w:cs="Calibri"/>
        </w:rPr>
        <w:t xml:space="preserve"> </w:t>
      </w:r>
      <w:r>
        <w:rPr>
          <w:rStyle w:val="eop"/>
        </w:rPr>
        <w:t> </w:t>
      </w:r>
    </w:p>
    <w:p w:rsidR="0090689D" w:rsidP="0090689D" w:rsidRDefault="0090689D" w14:paraId="09527DD0"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Email: ___________@naccho.org</w:t>
      </w:r>
      <w:r>
        <w:rPr>
          <w:rStyle w:val="eop"/>
        </w:rPr>
        <w:t> </w:t>
      </w:r>
    </w:p>
    <w:p w:rsidR="0090689D" w:rsidP="0090689D" w:rsidRDefault="0090689D" w14:paraId="3CB14065"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eop"/>
        </w:rPr>
        <w:t> </w:t>
      </w:r>
    </w:p>
    <w:p w:rsidR="0090689D" w:rsidP="0090689D" w:rsidRDefault="0090689D" w14:paraId="7700467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     With a copy to:</w:t>
      </w:r>
      <w:r>
        <w:rPr>
          <w:rStyle w:val="eop"/>
        </w:rPr>
        <w:t> </w:t>
      </w:r>
    </w:p>
    <w:p w:rsidR="0090689D" w:rsidP="0090689D" w:rsidRDefault="0090689D" w14:paraId="609D4DE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National Association of County and City Health Officials</w:t>
      </w:r>
      <w:r>
        <w:rPr>
          <w:rStyle w:val="eop"/>
        </w:rPr>
        <w:t> </w:t>
      </w:r>
    </w:p>
    <w:p w:rsidR="0090689D" w:rsidP="0090689D" w:rsidRDefault="0090689D" w14:paraId="0DC17F31"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Attn: Ade Hutapea, LL.M., CFCM</w:t>
      </w:r>
      <w:r>
        <w:rPr>
          <w:rStyle w:val="eop"/>
        </w:rPr>
        <w:t> </w:t>
      </w:r>
    </w:p>
    <w:p w:rsidR="0090689D" w:rsidP="0090689D" w:rsidRDefault="0090689D" w14:paraId="53393518"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Lead Contracts Administrator</w:t>
      </w:r>
      <w:r>
        <w:rPr>
          <w:rStyle w:val="eop"/>
        </w:rPr>
        <w:t> </w:t>
      </w:r>
    </w:p>
    <w:p w:rsidR="0090689D" w:rsidP="0090689D" w:rsidRDefault="0090689D" w14:paraId="54B6BFB2"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1201 (I) Eye Street NW 4th Fl., </w:t>
      </w:r>
      <w:r>
        <w:rPr>
          <w:rStyle w:val="eop"/>
        </w:rPr>
        <w:t> </w:t>
      </w:r>
    </w:p>
    <w:p w:rsidR="0090689D" w:rsidP="0090689D" w:rsidRDefault="0090689D" w14:paraId="01E4F1AD"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Washington, DC 20005</w:t>
      </w:r>
      <w:r>
        <w:rPr>
          <w:rStyle w:val="eop"/>
        </w:rPr>
        <w:t> </w:t>
      </w:r>
    </w:p>
    <w:p w:rsidR="0090689D" w:rsidP="0090689D" w:rsidRDefault="0090689D" w14:paraId="47181D70"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Tel. (202) 507-4272</w:t>
      </w:r>
      <w:r>
        <w:rPr>
          <w:rStyle w:val="eop"/>
        </w:rPr>
        <w:t> </w:t>
      </w:r>
    </w:p>
    <w:p w:rsidR="0090689D" w:rsidP="0090689D" w:rsidRDefault="0090689D" w14:paraId="032E363F"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Fax (202) 783-1583</w:t>
      </w:r>
      <w:r>
        <w:rPr>
          <w:rStyle w:val="tabchar"/>
          <w:rFonts w:ascii="Calibri" w:hAnsi="Calibri" w:cs="Calibri"/>
        </w:rPr>
        <w:t xml:space="preserve"> </w:t>
      </w:r>
      <w:r>
        <w:rPr>
          <w:rStyle w:val="eop"/>
        </w:rPr>
        <w:t> </w:t>
      </w:r>
    </w:p>
    <w:p w:rsidR="0090689D" w:rsidP="0090689D" w:rsidRDefault="0090689D" w14:paraId="1EE3D03A"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rPr>
        <w:t>Email: ahutapea@naccho.org</w:t>
      </w:r>
      <w:r>
        <w:rPr>
          <w:rStyle w:val="eop"/>
        </w:rPr>
        <w:t> </w:t>
      </w:r>
    </w:p>
    <w:p w:rsidR="0090689D" w:rsidP="0090689D" w:rsidRDefault="0090689D" w14:paraId="24B80389"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26C6DAB"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54B81D39"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FOR CONTRACTOR:</w:t>
      </w:r>
      <w:r>
        <w:rPr>
          <w:rStyle w:val="eop"/>
        </w:rPr>
        <w:t> </w:t>
      </w:r>
    </w:p>
    <w:p w:rsidR="0090689D" w:rsidP="0090689D" w:rsidRDefault="0090689D" w14:paraId="36460753"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793B90B"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(Name and address of Contractor’s Contract Officer or Designee, including telephone and fax.)</w:t>
      </w:r>
      <w:r>
        <w:rPr>
          <w:rStyle w:val="eop"/>
        </w:rPr>
        <w:t> </w:t>
      </w:r>
    </w:p>
    <w:p w:rsidR="0090689D" w:rsidP="0090689D" w:rsidRDefault="0090689D" w14:paraId="392EB62F" w14:textId="77777777">
      <w:pPr>
        <w:pStyle w:val="paragraph"/>
        <w:spacing w:before="0" w:beforeAutospacing="0" w:after="0" w:afterAutospacing="0"/>
        <w:ind w:firstLine="720"/>
        <w:textAlignment w:val="baseline"/>
        <w:rPr>
          <w:rFonts w:ascii="Segoe UI" w:hAnsi="Segoe UI" w:cs="Segoe UI"/>
          <w:color w:val="000000"/>
          <w:sz w:val="18"/>
          <w:szCs w:val="18"/>
        </w:rPr>
      </w:pPr>
      <w:r>
        <w:rPr>
          <w:rStyle w:val="eop"/>
        </w:rPr>
        <w:t> </w:t>
      </w:r>
    </w:p>
    <w:p w:rsidR="0090689D" w:rsidP="0090689D" w:rsidRDefault="0090689D" w14:paraId="50100516"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119FF8EF"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411D976E"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747300D"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10B3B6F"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56F413EC"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CAD35A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IN WITNESS WHEREOF, the persons signing below warrant that they are duly authorized to sign for and on behalf of, the respective parties.</w:t>
      </w:r>
      <w:r>
        <w:rPr>
          <w:rStyle w:val="eop"/>
        </w:rPr>
        <w:t> </w:t>
      </w:r>
    </w:p>
    <w:p w:rsidR="0090689D" w:rsidP="0090689D" w:rsidRDefault="0090689D" w14:paraId="4BF0173E"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54B87BC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AGREED AND ACCEPTED AS ABOVE:</w:t>
      </w:r>
      <w:r>
        <w:rPr>
          <w:rStyle w:val="eop"/>
        </w:rPr>
        <w:t> </w:t>
      </w:r>
    </w:p>
    <w:p w:rsidR="0090689D" w:rsidP="0090689D" w:rsidRDefault="0090689D" w14:paraId="4470EAA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AE75B2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 </w:t>
      </w:r>
      <w:r>
        <w:rPr>
          <w:rStyle w:val="eop"/>
        </w:rPr>
        <w:t> </w:t>
      </w:r>
    </w:p>
    <w:p w:rsidR="0090689D" w:rsidP="0090689D" w:rsidRDefault="0090689D" w14:paraId="58A056A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NACCHO:</w:t>
      </w:r>
      <w:r>
        <w:rPr>
          <w:rStyle w:val="tabchar"/>
          <w:rFonts w:ascii="Calibri" w:hAnsi="Calibri" w:cs="Calibri"/>
        </w:rPr>
        <w:t xml:space="preserve"> </w:t>
      </w:r>
      <w:r>
        <w:rPr>
          <w:rStyle w:val="normaltextrun"/>
        </w:rPr>
        <w:t>CONTRACTOR:</w:t>
      </w:r>
      <w:r>
        <w:rPr>
          <w:rStyle w:val="eop"/>
        </w:rPr>
        <w:t> </w:t>
      </w:r>
    </w:p>
    <w:p w:rsidR="0090689D" w:rsidP="0090689D" w:rsidRDefault="0090689D" w14:paraId="1A2A52EA"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64BB9E97"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0CC000EB"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3CEFE6BA"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By:</w:t>
      </w:r>
      <w:r>
        <w:rPr>
          <w:rStyle w:val="tabchar"/>
          <w:rFonts w:ascii="Calibri" w:hAnsi="Calibri" w:cs="Calibri"/>
        </w:rPr>
        <w:t xml:space="preserve"> </w:t>
      </w:r>
      <w:r>
        <w:rPr>
          <w:rStyle w:val="normaltextrun"/>
        </w:rPr>
        <w:t>___________________________</w:t>
      </w:r>
      <w:r>
        <w:rPr>
          <w:rStyle w:val="tabchar"/>
          <w:rFonts w:ascii="Calibri" w:hAnsi="Calibri" w:cs="Calibri"/>
        </w:rPr>
        <w:t xml:space="preserve"> </w:t>
      </w:r>
      <w:r>
        <w:rPr>
          <w:rStyle w:val="normaltextrun"/>
        </w:rPr>
        <w:t>By:</w:t>
      </w:r>
      <w:r>
        <w:rPr>
          <w:rStyle w:val="tabchar"/>
          <w:rFonts w:ascii="Calibri" w:hAnsi="Calibri" w:cs="Calibri"/>
        </w:rPr>
        <w:t xml:space="preserve"> </w:t>
      </w:r>
      <w:r>
        <w:rPr>
          <w:rStyle w:val="normaltextrun"/>
        </w:rPr>
        <w:t>___________________________</w:t>
      </w:r>
      <w:r>
        <w:rPr>
          <w:rStyle w:val="tabchar"/>
          <w:rFonts w:ascii="Calibri" w:hAnsi="Calibri" w:cs="Calibri"/>
        </w:rPr>
        <w:t xml:space="preserve"> </w:t>
      </w:r>
      <w:r>
        <w:rPr>
          <w:rStyle w:val="normaltextrun"/>
        </w:rPr>
        <w:t> </w:t>
      </w:r>
      <w:r>
        <w:rPr>
          <w:rStyle w:val="tabchar"/>
          <w:rFonts w:ascii="Calibri" w:hAnsi="Calibri" w:cs="Calibri"/>
        </w:rPr>
        <w:t xml:space="preserve"> </w:t>
      </w:r>
      <w:r>
        <w:rPr>
          <w:rStyle w:val="eop"/>
        </w:rPr>
        <w:t> </w:t>
      </w:r>
    </w:p>
    <w:p w:rsidR="0090689D" w:rsidP="0090689D" w:rsidRDefault="0090689D" w14:paraId="5A733F9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Name:  Jerome Chester                                  </w:t>
      </w:r>
      <w:r>
        <w:rPr>
          <w:rStyle w:val="tabchar"/>
          <w:rFonts w:ascii="Calibri" w:hAnsi="Calibri" w:cs="Calibri"/>
        </w:rPr>
        <w:t xml:space="preserve"> </w:t>
      </w:r>
      <w:r>
        <w:rPr>
          <w:rStyle w:val="normaltextrun"/>
        </w:rPr>
        <w:t>Name:</w:t>
      </w:r>
      <w:r>
        <w:rPr>
          <w:rStyle w:val="tabchar"/>
          <w:rFonts w:ascii="Calibri" w:hAnsi="Calibri" w:cs="Calibri"/>
        </w:rPr>
        <w:t xml:space="preserve"> </w:t>
      </w:r>
      <w:r>
        <w:rPr>
          <w:rStyle w:val="normaltextrun"/>
        </w:rPr>
        <w:t>___________________________</w:t>
      </w:r>
      <w:r>
        <w:rPr>
          <w:rStyle w:val="eop"/>
        </w:rPr>
        <w:t> </w:t>
      </w:r>
    </w:p>
    <w:p w:rsidR="0090689D" w:rsidP="0090689D" w:rsidRDefault="0090689D" w14:paraId="125C6645"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7DCC1EAF"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Title: Chief Financial Officer</w:t>
      </w:r>
      <w:r>
        <w:rPr>
          <w:rStyle w:val="tabchar"/>
          <w:rFonts w:ascii="Calibri" w:hAnsi="Calibri" w:cs="Calibri"/>
        </w:rPr>
        <w:t xml:space="preserve"> </w:t>
      </w:r>
      <w:r>
        <w:rPr>
          <w:rStyle w:val="normaltextrun"/>
        </w:rPr>
        <w:t>                        </w:t>
      </w:r>
      <w:r>
        <w:rPr>
          <w:rStyle w:val="tabchar"/>
          <w:rFonts w:ascii="Calibri" w:hAnsi="Calibri" w:cs="Calibri"/>
        </w:rPr>
        <w:t xml:space="preserve"> </w:t>
      </w:r>
      <w:r>
        <w:rPr>
          <w:rStyle w:val="normaltextrun"/>
        </w:rPr>
        <w:t>Title:</w:t>
      </w:r>
      <w:r>
        <w:rPr>
          <w:rStyle w:val="tabchar"/>
          <w:rFonts w:ascii="Calibri" w:hAnsi="Calibri" w:cs="Calibri"/>
        </w:rPr>
        <w:t xml:space="preserve"> </w:t>
      </w:r>
      <w:r>
        <w:rPr>
          <w:rStyle w:val="normaltextrun"/>
        </w:rPr>
        <w:t>___________________________</w:t>
      </w:r>
      <w:r>
        <w:rPr>
          <w:rStyle w:val="eop"/>
        </w:rPr>
        <w:t> </w:t>
      </w:r>
    </w:p>
    <w:p w:rsidR="0090689D" w:rsidP="0090689D" w:rsidRDefault="0090689D" w14:paraId="1AC21391" w14:textId="77777777">
      <w:pPr>
        <w:pStyle w:val="paragraph"/>
        <w:spacing w:before="0" w:beforeAutospacing="0" w:after="0" w:afterAutospacing="0"/>
        <w:textAlignment w:val="baseline"/>
        <w:rPr>
          <w:rFonts w:ascii="Segoe UI" w:hAnsi="Segoe UI" w:cs="Segoe UI"/>
          <w:color w:val="000000"/>
          <w:sz w:val="18"/>
          <w:szCs w:val="18"/>
        </w:rPr>
      </w:pPr>
      <w:r>
        <w:rPr>
          <w:rStyle w:val="eop"/>
        </w:rPr>
        <w:t> </w:t>
      </w:r>
    </w:p>
    <w:p w:rsidR="0090689D" w:rsidP="0090689D" w:rsidRDefault="0090689D" w14:paraId="22755C0C"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Date:</w:t>
      </w:r>
      <w:r>
        <w:rPr>
          <w:rStyle w:val="tabchar"/>
          <w:rFonts w:ascii="Calibri" w:hAnsi="Calibri" w:cs="Calibri"/>
        </w:rPr>
        <w:t xml:space="preserve"> </w:t>
      </w:r>
      <w:r>
        <w:rPr>
          <w:rStyle w:val="normaltextrun"/>
        </w:rPr>
        <w:t>Date:</w:t>
      </w:r>
      <w:r>
        <w:rPr>
          <w:rStyle w:val="tabchar"/>
          <w:rFonts w:ascii="Calibri" w:hAnsi="Calibri" w:cs="Calibri"/>
        </w:rPr>
        <w:t xml:space="preserve"> </w:t>
      </w:r>
      <w:r>
        <w:rPr>
          <w:rStyle w:val="normaltextrun"/>
        </w:rPr>
        <w:t>___________________________</w:t>
      </w:r>
      <w:r>
        <w:rPr>
          <w:rStyle w:val="tabchar"/>
          <w:rFonts w:ascii="Calibri" w:hAnsi="Calibri" w:cs="Calibri"/>
        </w:rPr>
        <w:t xml:space="preserve"> </w:t>
      </w:r>
      <w:r>
        <w:rPr>
          <w:rStyle w:val="eop"/>
        </w:rPr>
        <w:t> </w:t>
      </w:r>
    </w:p>
    <w:p w:rsidR="0090689D" w:rsidP="0090689D" w:rsidRDefault="0090689D" w14:paraId="0B58FEF2"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Federal Tax ID No.:</w:t>
      </w:r>
      <w:r>
        <w:rPr>
          <w:rStyle w:val="tabchar"/>
          <w:rFonts w:ascii="Calibri" w:hAnsi="Calibri" w:cs="Calibri"/>
        </w:rPr>
        <w:t xml:space="preserve"> </w:t>
      </w:r>
      <w:r>
        <w:rPr>
          <w:rStyle w:val="eop"/>
        </w:rPr>
        <w:t> </w:t>
      </w:r>
    </w:p>
    <w:p w:rsidR="0090689D" w:rsidP="0090689D" w:rsidRDefault="0090689D" w14:paraId="7039416F" w14:textId="77777777">
      <w:pPr>
        <w:pStyle w:val="paragraph"/>
        <w:spacing w:before="0" w:beforeAutospacing="0" w:after="0" w:afterAutospacing="0"/>
        <w:ind w:firstLine="5040"/>
        <w:textAlignment w:val="baseline"/>
        <w:rPr>
          <w:rFonts w:ascii="Segoe UI" w:hAnsi="Segoe UI" w:cs="Segoe UI"/>
          <w:color w:val="000000"/>
          <w:sz w:val="18"/>
          <w:szCs w:val="18"/>
        </w:rPr>
      </w:pPr>
      <w:r>
        <w:rPr>
          <w:rStyle w:val="normaltextrun"/>
        </w:rPr>
        <w:t>DUNS No.:________________________</w:t>
      </w:r>
      <w:r>
        <w:rPr>
          <w:rStyle w:val="eop"/>
        </w:rPr>
        <w:t> </w:t>
      </w:r>
    </w:p>
    <w:p w:rsidR="0090689D" w:rsidP="0090689D" w:rsidRDefault="0090689D" w14:paraId="5F90300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Pr>
        <w:t> </w:t>
      </w:r>
      <w:r>
        <w:rPr>
          <w:rStyle w:val="eop"/>
        </w:rPr>
        <w:t> </w:t>
      </w:r>
    </w:p>
    <w:p w:rsidR="0090689D" w:rsidP="0090689D" w:rsidRDefault="0090689D" w14:paraId="10E97880" w14:textId="77777777">
      <w:pPr>
        <w:kinsoku w:val="0"/>
        <w:overflowPunct w:val="0"/>
        <w:autoSpaceDE w:val="0"/>
        <w:autoSpaceDN w:val="0"/>
        <w:adjustRightInd w:val="0"/>
        <w:spacing w:after="0" w:line="204" w:lineRule="exact"/>
        <w:outlineLvl w:val="0"/>
        <w:rPr>
          <w:rFonts w:ascii="Times New Roman" w:hAnsi="Times New Roman" w:cs="Times New Roman"/>
          <w:b/>
          <w:bCs/>
          <w:spacing w:val="-3"/>
          <w:sz w:val="20"/>
          <w:szCs w:val="20"/>
        </w:rPr>
      </w:pPr>
    </w:p>
    <w:p w:rsidR="00661618" w:rsidP="00F93039" w:rsidRDefault="00661618" w14:paraId="721D0703" w14:textId="77777777">
      <w:pPr>
        <w:kinsoku w:val="0"/>
        <w:overflowPunct w:val="0"/>
        <w:autoSpaceDE w:val="0"/>
        <w:autoSpaceDN w:val="0"/>
        <w:adjustRightInd w:val="0"/>
        <w:spacing w:after="0" w:line="204" w:lineRule="exact"/>
        <w:ind w:left="267"/>
        <w:jc w:val="center"/>
        <w:outlineLvl w:val="0"/>
        <w:rPr>
          <w:rFonts w:ascii="Times New Roman" w:hAnsi="Times New Roman" w:cs="Times New Roman"/>
          <w:b/>
          <w:bCs/>
          <w:spacing w:val="-3"/>
          <w:sz w:val="20"/>
          <w:szCs w:val="20"/>
        </w:rPr>
      </w:pPr>
    </w:p>
    <w:p w:rsidRPr="00F93039" w:rsidR="00F93039" w:rsidP="00F93039" w:rsidRDefault="00F93039" w14:paraId="2AE22C9E" w14:textId="7A8D0549">
      <w:pPr>
        <w:kinsoku w:val="0"/>
        <w:overflowPunct w:val="0"/>
        <w:autoSpaceDE w:val="0"/>
        <w:autoSpaceDN w:val="0"/>
        <w:adjustRightInd w:val="0"/>
        <w:spacing w:before="60" w:after="0" w:line="240" w:lineRule="auto"/>
        <w:ind w:left="39"/>
        <w:rPr>
          <w:rFonts w:ascii="Times New Roman" w:hAnsi="Times New Roman" w:cs="Times New Roman"/>
          <w:color w:val="000000"/>
          <w:sz w:val="20"/>
          <w:szCs w:val="20"/>
        </w:rPr>
      </w:pPr>
      <w:r w:rsidRPr="00F93039">
        <w:rPr>
          <w:rFonts w:ascii="Times New Roman" w:hAnsi="Times New Roman" w:cs="Times New Roman"/>
          <w:color w:val="FF0000"/>
          <w:spacing w:val="9"/>
          <w:sz w:val="20"/>
          <w:szCs w:val="20"/>
          <w:u w:val="single" w:color="FE0000"/>
        </w:rPr>
        <w:t xml:space="preserve"> </w:t>
      </w:r>
    </w:p>
    <w:p w:rsidR="00F2773C" w:rsidP="00F2773C" w:rsidRDefault="00F2773C" w14:paraId="450D4A87" w14:textId="77777777">
      <w:pPr>
        <w:autoSpaceDE w:val="0"/>
        <w:autoSpaceDN w:val="0"/>
        <w:adjustRightInd w:val="0"/>
        <w:spacing w:after="0" w:line="240" w:lineRule="auto"/>
        <w:jc w:val="center"/>
        <w:rPr>
          <w:rFonts w:ascii="Calibri" w:hAnsi="Calibri" w:cs="Calibri"/>
          <w:b/>
          <w:bCs/>
          <w:color w:val="008A99"/>
          <w:sz w:val="32"/>
          <w:szCs w:val="32"/>
        </w:rPr>
      </w:pPr>
    </w:p>
    <w:p w:rsidR="00F2773C" w:rsidP="00F2773C" w:rsidRDefault="00F2773C" w14:paraId="1DCE7BAC" w14:textId="77777777">
      <w:pPr>
        <w:autoSpaceDE w:val="0"/>
        <w:autoSpaceDN w:val="0"/>
        <w:adjustRightInd w:val="0"/>
        <w:spacing w:after="0" w:line="240" w:lineRule="auto"/>
        <w:jc w:val="center"/>
        <w:rPr>
          <w:rFonts w:ascii="Calibri" w:hAnsi="Calibri" w:cs="Calibri"/>
          <w:b/>
          <w:bCs/>
          <w:color w:val="008A99"/>
          <w:sz w:val="32"/>
          <w:szCs w:val="32"/>
        </w:rPr>
      </w:pPr>
    </w:p>
    <w:p w:rsidR="00020A4A" w:rsidRDefault="00020A4A" w14:paraId="56E8BC4A" w14:textId="71A5F057">
      <w:pPr>
        <w:rPr>
          <w:rStyle w:val="normaltextrun"/>
          <w:b/>
          <w:bCs/>
          <w:sz w:val="24"/>
          <w:szCs w:val="24"/>
        </w:rPr>
      </w:pPr>
      <w:r>
        <w:rPr>
          <w:rStyle w:val="normaltextrun"/>
          <w:b/>
          <w:bCs/>
          <w:sz w:val="24"/>
          <w:szCs w:val="24"/>
        </w:rPr>
        <w:br w:type="page"/>
      </w:r>
    </w:p>
    <w:p w:rsidR="004068BE" w:rsidP="00F7744C" w:rsidRDefault="004068BE" w14:paraId="06022B20" w14:textId="77777777">
      <w:pPr>
        <w:autoSpaceDE w:val="0"/>
        <w:autoSpaceDN w:val="0"/>
        <w:adjustRightInd w:val="0"/>
        <w:spacing w:after="0" w:line="240" w:lineRule="auto"/>
        <w:rPr>
          <w:rStyle w:val="normaltextrun"/>
          <w:b/>
          <w:bCs/>
          <w:sz w:val="24"/>
          <w:szCs w:val="24"/>
        </w:rPr>
      </w:pPr>
    </w:p>
    <w:p w:rsidRPr="00814607" w:rsidR="00F7744C" w:rsidP="00F7744C" w:rsidRDefault="0009263C" w14:paraId="7314D78D" w14:textId="2E142C00">
      <w:pPr>
        <w:autoSpaceDE w:val="0"/>
        <w:autoSpaceDN w:val="0"/>
        <w:adjustRightInd w:val="0"/>
        <w:spacing w:after="0" w:line="240" w:lineRule="auto"/>
        <w:rPr>
          <w:rFonts w:ascii="Calibri" w:hAnsi="Calibri" w:cs="Calibri"/>
          <w:b/>
          <w:bCs/>
          <w:color w:val="000000"/>
          <w:sz w:val="24"/>
          <w:szCs w:val="24"/>
        </w:rPr>
      </w:pPr>
      <w:r w:rsidRPr="00814607">
        <w:rPr>
          <w:rStyle w:val="normaltextrun"/>
          <w:b/>
          <w:bCs/>
          <w:sz w:val="24"/>
          <w:szCs w:val="24"/>
        </w:rPr>
        <w:t xml:space="preserve">APPENDIX </w:t>
      </w:r>
      <w:r w:rsidRPr="00814607" w:rsidR="00F10882">
        <w:rPr>
          <w:rStyle w:val="normaltextrun"/>
          <w:b/>
          <w:bCs/>
          <w:sz w:val="24"/>
          <w:szCs w:val="24"/>
        </w:rPr>
        <w:t>B</w:t>
      </w:r>
    </w:p>
    <w:p w:rsidR="0009263C" w:rsidP="00F7744C" w:rsidRDefault="0009263C" w14:paraId="0ACA7B5D" w14:textId="77777777">
      <w:pPr>
        <w:autoSpaceDE w:val="0"/>
        <w:autoSpaceDN w:val="0"/>
        <w:adjustRightInd w:val="0"/>
        <w:spacing w:after="0" w:line="240" w:lineRule="auto"/>
        <w:rPr>
          <w:rFonts w:ascii="Calibri" w:hAnsi="Calibri" w:cs="Calibri"/>
          <w:b/>
          <w:bCs/>
          <w:color w:val="000000"/>
          <w:sz w:val="23"/>
          <w:szCs w:val="23"/>
        </w:rPr>
      </w:pPr>
    </w:p>
    <w:p w:rsidR="00F7744C" w:rsidP="00F7744C" w:rsidRDefault="00F7744C" w14:paraId="3C18A9D9" w14:textId="2B9EEBD8">
      <w:pPr>
        <w:autoSpaceDE w:val="0"/>
        <w:autoSpaceDN w:val="0"/>
        <w:adjustRightInd w:val="0"/>
        <w:spacing w:after="0" w:line="240" w:lineRule="auto"/>
        <w:rPr>
          <w:rFonts w:ascii="Calibri" w:hAnsi="Calibri" w:cs="Calibri"/>
          <w:b/>
          <w:bCs/>
          <w:color w:val="000000"/>
          <w:sz w:val="23"/>
          <w:szCs w:val="23"/>
        </w:rPr>
      </w:pPr>
      <w:r w:rsidRPr="00F7744C">
        <w:rPr>
          <w:rFonts w:ascii="Calibri" w:hAnsi="Calibri" w:cs="Calibri"/>
          <w:b/>
          <w:bCs/>
          <w:color w:val="000000"/>
          <w:sz w:val="23"/>
          <w:szCs w:val="23"/>
        </w:rPr>
        <w:t xml:space="preserve">Unallowable Cost Guidelines </w:t>
      </w:r>
    </w:p>
    <w:p w:rsidR="005347A6" w:rsidP="00F7744C" w:rsidRDefault="005347A6" w14:paraId="0BB24760" w14:textId="4B263603">
      <w:pPr>
        <w:autoSpaceDE w:val="0"/>
        <w:autoSpaceDN w:val="0"/>
        <w:adjustRightInd w:val="0"/>
        <w:spacing w:after="0" w:line="240" w:lineRule="auto"/>
        <w:rPr>
          <w:rFonts w:ascii="Calibri" w:hAnsi="Calibri" w:cs="Calibri"/>
          <w:b/>
          <w:bCs/>
          <w:color w:val="000000"/>
          <w:sz w:val="23"/>
          <w:szCs w:val="23"/>
        </w:rPr>
      </w:pPr>
      <w:r>
        <w:t>Recipients may use funds only for reasonable program purposes, including personnel, travel, supplies, and services. NACCHO reserves the right to request a revised cost proposal, should NACCHO and CDC determine applicant’s proposed cost as unallowable. Restrictions that must be considered while planning the programs and writing the budget:</w:t>
      </w:r>
    </w:p>
    <w:p w:rsidRPr="00F7744C" w:rsidR="00F7744C" w:rsidP="00F7744C" w:rsidRDefault="00F7744C" w14:paraId="2DAF1CDD" w14:textId="77777777">
      <w:pPr>
        <w:autoSpaceDE w:val="0"/>
        <w:autoSpaceDN w:val="0"/>
        <w:adjustRightInd w:val="0"/>
        <w:spacing w:after="0" w:line="240" w:lineRule="auto"/>
        <w:rPr>
          <w:rFonts w:ascii="Calibri" w:hAnsi="Calibri" w:cs="Calibri"/>
          <w:color w:val="000000"/>
          <w:sz w:val="23"/>
          <w:szCs w:val="23"/>
        </w:rPr>
      </w:pPr>
    </w:p>
    <w:p w:rsidR="008454CE" w:rsidP="001D0657" w:rsidRDefault="008454CE" w14:paraId="7426DB90" w14:textId="7D316567">
      <w:pPr>
        <w:pStyle w:val="Default"/>
        <w:numPr>
          <w:ilvl w:val="3"/>
          <w:numId w:val="35"/>
        </w:numPr>
        <w:ind w:left="180" w:hanging="180"/>
        <w:rPr>
          <w:rFonts w:cs="Times New Roman" w:asciiTheme="minorHAnsi" w:hAnsiTheme="minorHAnsi"/>
          <w:iCs/>
          <w:color w:val="auto"/>
          <w:sz w:val="22"/>
          <w:szCs w:val="22"/>
        </w:rPr>
      </w:pPr>
      <w:r>
        <w:rPr>
          <w:rFonts w:cs="Times New Roman" w:asciiTheme="minorHAnsi" w:hAnsiTheme="minorHAnsi"/>
          <w:iCs/>
          <w:color w:val="auto"/>
          <w:sz w:val="22"/>
          <w:szCs w:val="22"/>
        </w:rPr>
        <w:t>Naloxone/Narcan and syringes</w:t>
      </w:r>
    </w:p>
    <w:p w:rsidR="008454CE" w:rsidP="001D0657" w:rsidRDefault="008454CE" w14:paraId="708F1140" w14:textId="77777777">
      <w:pPr>
        <w:pStyle w:val="Default"/>
        <w:numPr>
          <w:ilvl w:val="3"/>
          <w:numId w:val="35"/>
        </w:numPr>
        <w:ind w:left="180" w:hanging="180"/>
        <w:rPr>
          <w:rFonts w:cs="Times New Roman" w:asciiTheme="minorHAnsi" w:hAnsiTheme="minorHAnsi"/>
          <w:iCs/>
          <w:color w:val="auto"/>
          <w:sz w:val="22"/>
          <w:szCs w:val="22"/>
        </w:rPr>
      </w:pPr>
      <w:r w:rsidRPr="008454CE">
        <w:rPr>
          <w:rFonts w:cs="Times New Roman" w:asciiTheme="minorHAnsi" w:hAnsiTheme="minorHAnsi"/>
          <w:iCs/>
          <w:color w:val="auto"/>
          <w:sz w:val="22"/>
          <w:szCs w:val="22"/>
        </w:rPr>
        <w:t>HIV/HCV/other STD/STI testing</w:t>
      </w:r>
    </w:p>
    <w:p w:rsidR="008454CE" w:rsidP="001D0657" w:rsidRDefault="008454CE" w14:paraId="3F49B1D1" w14:textId="77777777">
      <w:pPr>
        <w:pStyle w:val="Default"/>
        <w:numPr>
          <w:ilvl w:val="3"/>
          <w:numId w:val="35"/>
        </w:numPr>
        <w:ind w:left="180" w:hanging="180"/>
        <w:rPr>
          <w:rFonts w:cs="Times New Roman" w:asciiTheme="minorHAnsi" w:hAnsiTheme="minorHAnsi"/>
          <w:iCs/>
          <w:color w:val="auto"/>
          <w:sz w:val="22"/>
          <w:szCs w:val="22"/>
        </w:rPr>
      </w:pPr>
      <w:r w:rsidRPr="008454CE">
        <w:rPr>
          <w:rFonts w:cs="Times New Roman" w:asciiTheme="minorHAnsi" w:hAnsiTheme="minorHAnsi"/>
          <w:iCs/>
          <w:color w:val="auto"/>
          <w:sz w:val="22"/>
          <w:szCs w:val="22"/>
        </w:rPr>
        <w:t xml:space="preserve">Drug disposal programs and supplies. This includes implementing or expanding drug disposal programs or drug take-back programs, drug drop box, drug disposal bags. </w:t>
      </w:r>
    </w:p>
    <w:p w:rsidR="008454CE" w:rsidP="008454CE" w:rsidRDefault="008454CE" w14:paraId="371C9254" w14:textId="77777777">
      <w:pPr>
        <w:pStyle w:val="Default"/>
        <w:numPr>
          <w:ilvl w:val="3"/>
          <w:numId w:val="35"/>
        </w:numPr>
        <w:ind w:left="180" w:hanging="180"/>
        <w:rPr>
          <w:rFonts w:cs="Times New Roman" w:asciiTheme="minorHAnsi" w:hAnsiTheme="minorHAnsi"/>
          <w:iCs/>
          <w:color w:val="auto"/>
          <w:sz w:val="22"/>
          <w:szCs w:val="22"/>
        </w:rPr>
      </w:pPr>
      <w:r w:rsidRPr="008454CE">
        <w:rPr>
          <w:rFonts w:cs="Times New Roman" w:asciiTheme="minorHAnsi" w:hAnsiTheme="minorHAnsi"/>
          <w:iCs/>
          <w:color w:val="auto"/>
          <w:sz w:val="22"/>
          <w:szCs w:val="22"/>
        </w:rPr>
        <w:t xml:space="preserve">The provision of medical/clinical care. </w:t>
      </w:r>
    </w:p>
    <w:p w:rsidR="0034012B" w:rsidP="001D0657" w:rsidRDefault="0034012B" w14:paraId="29FB5A74" w14:textId="180D51E9">
      <w:pPr>
        <w:pStyle w:val="Default"/>
        <w:numPr>
          <w:ilvl w:val="3"/>
          <w:numId w:val="35"/>
        </w:numPr>
        <w:ind w:left="180" w:hanging="180"/>
        <w:rPr>
          <w:rFonts w:cs="Times New Roman" w:asciiTheme="minorHAnsi" w:hAnsiTheme="minorHAnsi"/>
          <w:iCs/>
          <w:color w:val="auto"/>
          <w:sz w:val="22"/>
          <w:szCs w:val="22"/>
        </w:rPr>
      </w:pPr>
      <w:r>
        <w:t>Wastewater analysis, including testing vendors, sewage testing and wastewater testing</w:t>
      </w:r>
    </w:p>
    <w:p w:rsidR="008454CE" w:rsidP="00F7744C" w:rsidRDefault="008454CE" w14:paraId="204EF0A2" w14:textId="77777777">
      <w:pPr>
        <w:pStyle w:val="Default"/>
        <w:numPr>
          <w:ilvl w:val="3"/>
          <w:numId w:val="35"/>
        </w:numPr>
        <w:ind w:left="180" w:hanging="180"/>
        <w:rPr>
          <w:rFonts w:cs="Times New Roman" w:asciiTheme="minorHAnsi" w:hAnsiTheme="minorHAnsi"/>
          <w:iCs/>
          <w:color w:val="auto"/>
          <w:sz w:val="22"/>
          <w:szCs w:val="22"/>
        </w:rPr>
      </w:pPr>
      <w:r w:rsidRPr="008454CE">
        <w:rPr>
          <w:rFonts w:cs="Times New Roman" w:asciiTheme="minorHAnsi" w:hAnsiTheme="minorHAnsi"/>
          <w:iCs/>
          <w:color w:val="auto"/>
          <w:sz w:val="22"/>
          <w:szCs w:val="22"/>
        </w:rPr>
        <w:t>Direct funding or expanding the provision of substance abuse treatment.</w:t>
      </w:r>
    </w:p>
    <w:p w:rsidRPr="001D0657" w:rsidR="00F7744C" w:rsidP="00F7744C" w:rsidRDefault="00F7744C" w14:paraId="1938C1E0" w14:textId="6B0C220B">
      <w:pPr>
        <w:pStyle w:val="Default"/>
        <w:numPr>
          <w:ilvl w:val="3"/>
          <w:numId w:val="35"/>
        </w:numPr>
        <w:ind w:left="180" w:hanging="180"/>
        <w:rPr>
          <w:rFonts w:cs="Times New Roman" w:asciiTheme="minorHAnsi" w:hAnsiTheme="minorHAnsi"/>
          <w:iCs/>
          <w:color w:val="auto"/>
          <w:sz w:val="20"/>
          <w:szCs w:val="20"/>
        </w:rPr>
      </w:pPr>
      <w:r w:rsidRPr="001D0657">
        <w:rPr>
          <w:sz w:val="22"/>
          <w:szCs w:val="22"/>
        </w:rPr>
        <w:t xml:space="preserve">Recipients may not use funds for research. </w:t>
      </w:r>
    </w:p>
    <w:p w:rsidRPr="001D0657" w:rsidR="00BC5282" w:rsidP="00F7744C" w:rsidRDefault="00BC5282" w14:paraId="748754BF" w14:textId="46AE9ED8">
      <w:pPr>
        <w:pStyle w:val="Default"/>
        <w:numPr>
          <w:ilvl w:val="3"/>
          <w:numId w:val="35"/>
        </w:numPr>
        <w:ind w:left="180" w:hanging="180"/>
        <w:rPr>
          <w:rFonts w:cs="Times New Roman" w:asciiTheme="minorHAnsi" w:hAnsiTheme="minorHAnsi"/>
          <w:iCs/>
          <w:color w:val="auto"/>
          <w:sz w:val="20"/>
          <w:szCs w:val="20"/>
        </w:rPr>
      </w:pPr>
      <w:r>
        <w:rPr>
          <w:sz w:val="22"/>
          <w:szCs w:val="22"/>
        </w:rPr>
        <w:t>Development of educational materials on safe injection.</w:t>
      </w:r>
    </w:p>
    <w:p w:rsidRPr="001D0657" w:rsidR="007A7AD4" w:rsidP="00F7744C" w:rsidRDefault="00BD0B08" w14:paraId="26DB3F3B" w14:textId="1788D09F">
      <w:pPr>
        <w:pStyle w:val="Default"/>
        <w:numPr>
          <w:ilvl w:val="3"/>
          <w:numId w:val="35"/>
        </w:numPr>
        <w:ind w:left="180" w:hanging="180"/>
        <w:rPr>
          <w:rFonts w:cs="Times New Roman" w:asciiTheme="minorHAnsi" w:hAnsiTheme="minorHAnsi"/>
          <w:iCs/>
          <w:color w:val="auto"/>
          <w:sz w:val="20"/>
          <w:szCs w:val="20"/>
        </w:rPr>
      </w:pPr>
      <w:r>
        <w:rPr>
          <w:sz w:val="22"/>
          <w:szCs w:val="22"/>
        </w:rPr>
        <w:t>Participant costs, including food and beverage as well as incentives for participation wil</w:t>
      </w:r>
      <w:r w:rsidR="00F24036">
        <w:rPr>
          <w:sz w:val="22"/>
          <w:szCs w:val="22"/>
        </w:rPr>
        <w:t>l be approved on a case-by-case basis and will require the submission of further documentation.</w:t>
      </w:r>
    </w:p>
    <w:p w:rsidRPr="001D0657" w:rsidR="00F24036" w:rsidP="00F7744C" w:rsidRDefault="00F24036" w14:paraId="609128EF" w14:textId="7F166896">
      <w:pPr>
        <w:pStyle w:val="Default"/>
        <w:numPr>
          <w:ilvl w:val="3"/>
          <w:numId w:val="35"/>
        </w:numPr>
        <w:ind w:left="180" w:hanging="180"/>
        <w:rPr>
          <w:rFonts w:cs="Times New Roman" w:asciiTheme="minorHAnsi" w:hAnsiTheme="minorHAnsi"/>
          <w:iCs/>
          <w:color w:val="auto"/>
          <w:sz w:val="20"/>
          <w:szCs w:val="20"/>
        </w:rPr>
      </w:pPr>
      <w:r>
        <w:rPr>
          <w:sz w:val="22"/>
          <w:szCs w:val="22"/>
        </w:rPr>
        <w:t>Prohibition on certain telecommunications and video surveillance serves or equipment (</w:t>
      </w:r>
      <w:r w:rsidR="00412BBC">
        <w:rPr>
          <w:sz w:val="22"/>
          <w:szCs w:val="22"/>
        </w:rPr>
        <w:t>Pub. L. 115-232, section 889): Recipients and subrecipients are prohibited from obligating or expending grant funds (to include direct and indirect expenditures as well as cost share and program funds) to:</w:t>
      </w:r>
    </w:p>
    <w:p w:rsidRPr="001D0657" w:rsidR="00412BBC" w:rsidP="00DA23FC" w:rsidRDefault="00412BBC" w14:paraId="5095057E" w14:textId="5961E1B1">
      <w:pPr>
        <w:pStyle w:val="Default"/>
        <w:numPr>
          <w:ilvl w:val="4"/>
          <w:numId w:val="35"/>
        </w:numPr>
        <w:ind w:left="1080"/>
        <w:rPr>
          <w:rFonts w:cs="Times New Roman" w:asciiTheme="minorHAnsi" w:hAnsiTheme="minorHAnsi"/>
          <w:iCs/>
          <w:color w:val="auto"/>
          <w:sz w:val="20"/>
          <w:szCs w:val="20"/>
        </w:rPr>
      </w:pPr>
      <w:r>
        <w:rPr>
          <w:sz w:val="22"/>
          <w:szCs w:val="22"/>
        </w:rPr>
        <w:t>Procure or obtain,</w:t>
      </w:r>
    </w:p>
    <w:p w:rsidRPr="001D0657" w:rsidR="00412BBC" w:rsidP="00DA23FC" w:rsidRDefault="00412BBC" w14:paraId="21DB9123" w14:textId="68E05934">
      <w:pPr>
        <w:pStyle w:val="Default"/>
        <w:numPr>
          <w:ilvl w:val="4"/>
          <w:numId w:val="35"/>
        </w:numPr>
        <w:ind w:left="1080"/>
        <w:rPr>
          <w:rFonts w:cs="Times New Roman" w:asciiTheme="minorHAnsi" w:hAnsiTheme="minorHAnsi"/>
          <w:iCs/>
          <w:color w:val="auto"/>
          <w:sz w:val="20"/>
          <w:szCs w:val="20"/>
        </w:rPr>
      </w:pPr>
      <w:r>
        <w:rPr>
          <w:sz w:val="22"/>
          <w:szCs w:val="22"/>
        </w:rPr>
        <w:t>Extend or renew a contract to procure or obtain; or</w:t>
      </w:r>
    </w:p>
    <w:p w:rsidRPr="001D0657" w:rsidR="00412BBC" w:rsidP="00DA23FC" w:rsidRDefault="00412BBC" w14:paraId="5CF72585" w14:textId="4529F0B6">
      <w:pPr>
        <w:pStyle w:val="Default"/>
        <w:numPr>
          <w:ilvl w:val="4"/>
          <w:numId w:val="35"/>
        </w:numPr>
        <w:ind w:left="1080"/>
        <w:rPr>
          <w:rFonts w:cs="Times New Roman" w:asciiTheme="minorHAnsi" w:hAnsiTheme="minorHAnsi"/>
          <w:iCs/>
          <w:color w:val="auto"/>
          <w:sz w:val="20"/>
          <w:szCs w:val="20"/>
        </w:rPr>
      </w:pPr>
      <w:r>
        <w:rPr>
          <w:sz w:val="22"/>
          <w:szCs w:val="22"/>
        </w:rPr>
        <w:t>Enter into a contract (or extend or renew contract) to procure or obtain equipment, services, or systems that use covered telecommunications equipment is telecommunications equipment produced by Huawei Technologies Company or ZTE Corporation (or any subsidiary or affiliate of such entities).</w:t>
      </w:r>
    </w:p>
    <w:p w:rsidRPr="001D0657" w:rsidR="00412BBC" w:rsidP="00DA23FC" w:rsidRDefault="00412BBC" w14:paraId="1728DF94" w14:textId="4C98B573">
      <w:pPr>
        <w:pStyle w:val="Default"/>
        <w:numPr>
          <w:ilvl w:val="5"/>
          <w:numId w:val="35"/>
        </w:numPr>
        <w:ind w:left="1800"/>
        <w:rPr>
          <w:rFonts w:cs="Times New Roman" w:asciiTheme="minorHAnsi" w:hAnsiTheme="minorHAnsi"/>
          <w:iCs/>
          <w:color w:val="auto"/>
          <w:sz w:val="20"/>
          <w:szCs w:val="20"/>
        </w:rPr>
      </w:pPr>
      <w:r>
        <w:rPr>
          <w:sz w:val="22"/>
          <w:szCs w:val="22"/>
        </w:rPr>
        <w:t>For the purpose of public safety, security of government facilities, physical surveillance of critical infrastructure, and</w:t>
      </w:r>
      <w:r w:rsidR="006C69DD">
        <w:rPr>
          <w:sz w:val="22"/>
          <w:szCs w:val="22"/>
        </w:rPr>
        <w:t xml:space="preserve"> </w:t>
      </w:r>
      <w:r>
        <w:rPr>
          <w:sz w:val="22"/>
          <w:szCs w:val="22"/>
        </w:rPr>
        <w:t>other national security purposes, video surveillance and telecommunications equipment produced by Hytera Communications Corporation, Hang</w:t>
      </w:r>
      <w:r w:rsidR="006C69DD">
        <w:rPr>
          <w:sz w:val="22"/>
          <w:szCs w:val="22"/>
        </w:rPr>
        <w:t xml:space="preserve">zhou Hikvision Digital Technology Company, or Dahua Technology Company (or any subsidiary or affiliate of such entites). </w:t>
      </w:r>
    </w:p>
    <w:p w:rsidR="006C69DD" w:rsidP="00DA23FC" w:rsidRDefault="007D26A4" w14:paraId="345B24C1" w14:textId="51B62AC4">
      <w:pPr>
        <w:pStyle w:val="Default"/>
        <w:numPr>
          <w:ilvl w:val="5"/>
          <w:numId w:val="35"/>
        </w:numPr>
        <w:ind w:left="1800"/>
        <w:rPr>
          <w:rFonts w:cs="Times New Roman" w:asciiTheme="minorHAnsi" w:hAnsiTheme="minorHAnsi"/>
          <w:iCs/>
          <w:color w:val="auto"/>
          <w:sz w:val="20"/>
          <w:szCs w:val="20"/>
        </w:rPr>
      </w:pPr>
      <w:r>
        <w:rPr>
          <w:rFonts w:cs="Times New Roman" w:asciiTheme="minorHAnsi" w:hAnsiTheme="minorHAnsi"/>
          <w:iCs/>
          <w:color w:val="auto"/>
          <w:sz w:val="20"/>
          <w:szCs w:val="20"/>
        </w:rPr>
        <w:t>Telecommunications or video surveillance services provided by such entit</w:t>
      </w:r>
      <w:r w:rsidR="00C2154D">
        <w:rPr>
          <w:rFonts w:cs="Times New Roman" w:asciiTheme="minorHAnsi" w:hAnsiTheme="minorHAnsi"/>
          <w:iCs/>
          <w:color w:val="auto"/>
          <w:sz w:val="20"/>
          <w:szCs w:val="20"/>
        </w:rPr>
        <w:t>i</w:t>
      </w:r>
      <w:r>
        <w:rPr>
          <w:rFonts w:cs="Times New Roman" w:asciiTheme="minorHAnsi" w:hAnsiTheme="minorHAnsi"/>
          <w:iCs/>
          <w:color w:val="auto"/>
          <w:sz w:val="20"/>
          <w:szCs w:val="20"/>
        </w:rPr>
        <w:t xml:space="preserve">es or using such </w:t>
      </w:r>
      <w:r w:rsidR="00C2154D">
        <w:rPr>
          <w:rFonts w:cs="Times New Roman" w:asciiTheme="minorHAnsi" w:hAnsiTheme="minorHAnsi"/>
          <w:iCs/>
          <w:color w:val="auto"/>
          <w:sz w:val="20"/>
          <w:szCs w:val="20"/>
        </w:rPr>
        <w:t>equipment.</w:t>
      </w:r>
    </w:p>
    <w:p w:rsidRPr="001D0657" w:rsidR="00C2154D" w:rsidP="001D0657" w:rsidRDefault="00630BB0" w14:paraId="081A578E" w14:textId="6000330C">
      <w:pPr>
        <w:pStyle w:val="Default"/>
        <w:numPr>
          <w:ilvl w:val="5"/>
          <w:numId w:val="35"/>
        </w:numPr>
        <w:ind w:left="1800"/>
        <w:rPr>
          <w:rFonts w:cs="Times New Roman" w:asciiTheme="minorHAnsi" w:hAnsiTheme="minorHAnsi"/>
          <w:iCs/>
          <w:color w:val="auto"/>
          <w:sz w:val="20"/>
          <w:szCs w:val="20"/>
        </w:rPr>
      </w:pPr>
      <w:r w:rsidRPr="00DA23FC">
        <w:rPr>
          <w:rFonts w:cs="Times New Roman" w:asciiTheme="minorHAnsi" w:hAnsiTheme="minorHAnsi"/>
          <w:iCs/>
          <w:color w:val="auto"/>
          <w:sz w:val="20"/>
          <w:szCs w:val="20"/>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President's Emergency Plan for AIDS Relief (PEPFAR) funding is exempt from the prohibition under Pub. L. 115-232, section 889 until September 30, 2022. During the exemption period, PEPFAR recipients are expected to work toward implementation of the requirements</w:t>
      </w:r>
    </w:p>
    <w:p w:rsidR="00A4164E" w:rsidP="00A4164E" w:rsidRDefault="00F7744C" w14:paraId="7BA5DF1F" w14:textId="2489EFF7">
      <w:pPr>
        <w:autoSpaceDE w:val="0"/>
        <w:autoSpaceDN w:val="0"/>
        <w:adjustRightInd w:val="0"/>
        <w:spacing w:after="0" w:line="240" w:lineRule="auto"/>
        <w:ind w:left="180" w:hanging="180"/>
        <w:rPr>
          <w:rFonts w:ascii="Calibri" w:hAnsi="Calibri" w:cs="Calibri"/>
          <w:color w:val="000000"/>
        </w:rPr>
      </w:pPr>
      <w:r w:rsidRPr="00F7744C">
        <w:rPr>
          <w:rFonts w:ascii="Calibri" w:hAnsi="Calibri" w:cs="Calibri"/>
          <w:color w:val="000000"/>
        </w:rPr>
        <w:t>• Generally, recipients may not use funds to purchase furniture or equipment</w:t>
      </w:r>
      <w:r w:rsidR="007A7AD4">
        <w:rPr>
          <w:rFonts w:ascii="Calibri" w:hAnsi="Calibri" w:cs="Calibri"/>
          <w:color w:val="000000"/>
        </w:rPr>
        <w:t>, including motor vehicles</w:t>
      </w:r>
      <w:r w:rsidRPr="00F7744C">
        <w:rPr>
          <w:rFonts w:ascii="Calibri" w:hAnsi="Calibri" w:cs="Calibri"/>
          <w:color w:val="000000"/>
        </w:rPr>
        <w:t>.</w:t>
      </w:r>
      <w:r w:rsidR="00A4164E">
        <w:rPr>
          <w:rFonts w:ascii="Calibri" w:hAnsi="Calibri" w:cs="Calibri"/>
          <w:color w:val="000000"/>
        </w:rPr>
        <w:t xml:space="preserve"> </w:t>
      </w:r>
      <w:r w:rsidRPr="00F7744C">
        <w:rPr>
          <w:rFonts w:ascii="Calibri" w:hAnsi="Calibri" w:cs="Calibri"/>
          <w:color w:val="000000"/>
        </w:rPr>
        <w:t xml:space="preserve">Any such proposed spending must be clearly identified in the budget. </w:t>
      </w:r>
    </w:p>
    <w:p w:rsidRPr="00A4164E" w:rsidR="002F72FE" w:rsidP="00A4164E" w:rsidRDefault="002F72FE" w14:paraId="67E4AD6E" w14:textId="49D7BFD1">
      <w:pPr>
        <w:pStyle w:val="ListParagraph"/>
        <w:numPr>
          <w:ilvl w:val="3"/>
          <w:numId w:val="35"/>
        </w:numPr>
        <w:autoSpaceDE w:val="0"/>
        <w:autoSpaceDN w:val="0"/>
        <w:adjustRightInd w:val="0"/>
        <w:spacing w:after="0" w:line="240" w:lineRule="auto"/>
        <w:ind w:left="180" w:hanging="180"/>
        <w:rPr>
          <w:rFonts w:ascii="Calibri" w:hAnsi="Calibri" w:cs="Calibri"/>
          <w:color w:val="000000"/>
        </w:rPr>
      </w:pPr>
      <w:r>
        <w:t>Travel Costs – Hotel, meals and incidentals generally are unallowable if they exceed on a daily basis the Federal Travel Per Diem Rates published by the General Services Administration. There are many rules and exceptions in applying this rule. Please contact NACCHO with specific questions about these exceptions.</w:t>
      </w:r>
    </w:p>
    <w:p w:rsidRPr="00F7744C" w:rsidR="00F7744C" w:rsidP="00A4164E" w:rsidRDefault="00F7744C" w14:paraId="0BF7783D" w14:textId="54418323">
      <w:pPr>
        <w:autoSpaceDE w:val="0"/>
        <w:autoSpaceDN w:val="0"/>
        <w:adjustRightInd w:val="0"/>
        <w:spacing w:after="0" w:line="240" w:lineRule="auto"/>
        <w:ind w:left="180" w:hanging="180"/>
        <w:rPr>
          <w:rFonts w:ascii="Calibri" w:hAnsi="Calibri" w:cs="Calibri"/>
          <w:color w:val="000000"/>
        </w:rPr>
      </w:pPr>
      <w:r w:rsidRPr="00F7744C">
        <w:rPr>
          <w:rFonts w:ascii="Calibri" w:hAnsi="Calibri" w:cs="Calibri"/>
          <w:color w:val="000000"/>
        </w:rPr>
        <w:t xml:space="preserve">• Reimbursement of pre-award costs generally is not allowed, unless the CDC provides written approval to the recipient. </w:t>
      </w:r>
    </w:p>
    <w:p w:rsidR="009A116B" w:rsidP="00F7744C" w:rsidRDefault="00F7744C" w14:paraId="12C8AC25" w14:textId="77777777">
      <w:pPr>
        <w:autoSpaceDE w:val="0"/>
        <w:autoSpaceDN w:val="0"/>
        <w:adjustRightInd w:val="0"/>
        <w:spacing w:after="0" w:line="240" w:lineRule="auto"/>
        <w:rPr>
          <w:rFonts w:ascii="Calibri" w:hAnsi="Calibri" w:cs="Calibri"/>
          <w:color w:val="000000"/>
        </w:rPr>
      </w:pPr>
      <w:r w:rsidRPr="00F7744C">
        <w:rPr>
          <w:rFonts w:ascii="Calibri" w:hAnsi="Calibri" w:cs="Calibri"/>
          <w:color w:val="000000"/>
        </w:rPr>
        <w:t>• Other than for normal and recognized executive-legislative relationships, no funds may be used for</w:t>
      </w:r>
    </w:p>
    <w:p w:rsidR="009A116B" w:rsidP="00F7744C" w:rsidRDefault="00F7744C" w14:paraId="4B44DF3A" w14:textId="77777777">
      <w:pPr>
        <w:pStyle w:val="ListParagraph"/>
        <w:numPr>
          <w:ilvl w:val="0"/>
          <w:numId w:val="41"/>
        </w:numPr>
        <w:autoSpaceDE w:val="0"/>
        <w:autoSpaceDN w:val="0"/>
        <w:adjustRightInd w:val="0"/>
        <w:spacing w:after="0" w:line="240" w:lineRule="auto"/>
        <w:rPr>
          <w:rFonts w:ascii="Calibri" w:hAnsi="Calibri" w:cs="Calibri"/>
          <w:color w:val="000000"/>
        </w:rPr>
      </w:pPr>
      <w:r w:rsidRPr="009A116B">
        <w:rPr>
          <w:rFonts w:ascii="Calibri" w:hAnsi="Calibri" w:cs="Calibri"/>
          <w:color w:val="000000"/>
        </w:rPr>
        <w:t xml:space="preserve">publicity or propaganda purposes, </w:t>
      </w:r>
    </w:p>
    <w:p w:rsidR="001F7072" w:rsidP="00F7744C" w:rsidRDefault="00F7744C" w14:paraId="00D30EC2" w14:textId="77777777">
      <w:pPr>
        <w:pStyle w:val="ListParagraph"/>
        <w:numPr>
          <w:ilvl w:val="0"/>
          <w:numId w:val="41"/>
        </w:numPr>
        <w:autoSpaceDE w:val="0"/>
        <w:autoSpaceDN w:val="0"/>
        <w:adjustRightInd w:val="0"/>
        <w:spacing w:after="0" w:line="240" w:lineRule="auto"/>
        <w:rPr>
          <w:rFonts w:ascii="Calibri" w:hAnsi="Calibri" w:cs="Calibri"/>
          <w:color w:val="000000"/>
        </w:rPr>
      </w:pPr>
      <w:r w:rsidRPr="009A116B">
        <w:rPr>
          <w:rFonts w:ascii="Calibri" w:hAnsi="Calibri" w:cs="Calibri"/>
          <w:color w:val="000000"/>
        </w:rPr>
        <w:t xml:space="preserve">for the preparation, distribution, or use of any material designed to support or defeat the enactment of legislation before any legislative body </w:t>
      </w:r>
    </w:p>
    <w:p w:rsidRPr="001F7072" w:rsidR="00F7744C" w:rsidP="00F7744C" w:rsidRDefault="00F7744C" w14:paraId="623A7CF9" w14:textId="42E417E1">
      <w:pPr>
        <w:pStyle w:val="ListParagraph"/>
        <w:numPr>
          <w:ilvl w:val="0"/>
          <w:numId w:val="41"/>
        </w:numPr>
        <w:autoSpaceDE w:val="0"/>
        <w:autoSpaceDN w:val="0"/>
        <w:adjustRightInd w:val="0"/>
        <w:spacing w:after="0" w:line="240" w:lineRule="auto"/>
        <w:rPr>
          <w:rFonts w:ascii="Calibri" w:hAnsi="Calibri" w:cs="Calibri"/>
          <w:color w:val="000000"/>
        </w:rPr>
      </w:pPr>
      <w:r w:rsidRPr="001F7072">
        <w:rPr>
          <w:rFonts w:ascii="Calibri" w:hAnsi="Calibri" w:cs="Calibri"/>
          <w:color w:val="000000"/>
        </w:rPr>
        <w:t xml:space="preserve">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 </w:t>
      </w:r>
    </w:p>
    <w:p w:rsidRPr="00F7744C" w:rsidR="00F7744C" w:rsidP="00A4164E" w:rsidRDefault="00F7744C" w14:paraId="78D9395D" w14:textId="77777777">
      <w:pPr>
        <w:autoSpaceDE w:val="0"/>
        <w:autoSpaceDN w:val="0"/>
        <w:adjustRightInd w:val="0"/>
        <w:spacing w:after="0" w:line="240" w:lineRule="auto"/>
        <w:ind w:left="180" w:hanging="180"/>
        <w:rPr>
          <w:rFonts w:ascii="Calibri" w:hAnsi="Calibri" w:cs="Calibri"/>
          <w:color w:val="000000"/>
        </w:rPr>
      </w:pPr>
      <w:r w:rsidRPr="00F7744C">
        <w:rPr>
          <w:rFonts w:ascii="Calibri" w:hAnsi="Calibri" w:cs="Calibri"/>
          <w:color w:val="000000"/>
        </w:rPr>
        <w:t xml:space="preserve">• See Additional Requirement (AR) 12 for detailed guidance on this prohibition and additional guidance on lobbying for CDC recipients. </w:t>
      </w:r>
    </w:p>
    <w:p w:rsidRPr="00F7744C" w:rsidR="00F7744C" w:rsidP="00A4164E" w:rsidRDefault="00F7744C" w14:paraId="407AADFB" w14:textId="77777777">
      <w:pPr>
        <w:autoSpaceDE w:val="0"/>
        <w:autoSpaceDN w:val="0"/>
        <w:adjustRightInd w:val="0"/>
        <w:spacing w:after="0" w:line="240" w:lineRule="auto"/>
        <w:ind w:left="180" w:hanging="180"/>
        <w:rPr>
          <w:rFonts w:ascii="Calibri" w:hAnsi="Calibri" w:cs="Calibri"/>
          <w:color w:val="000000"/>
        </w:rPr>
      </w:pPr>
      <w:r w:rsidRPr="00F7744C">
        <w:rPr>
          <w:rFonts w:ascii="Calibri" w:hAnsi="Calibri" w:cs="Calibri"/>
          <w:color w:val="000000"/>
        </w:rPr>
        <w:t xml:space="preserve">• The direct and primary recipient in a cooperative agreement program must perform a substantial role in carrying out project outcomes and not merely serve as a conduit for an award to another party or provider who is ineligible. </w:t>
      </w:r>
    </w:p>
    <w:p w:rsidRPr="00F7744C" w:rsidR="00F7744C" w:rsidP="00A4164E" w:rsidRDefault="00F7744C" w14:paraId="3D714023" w14:textId="77777777">
      <w:pPr>
        <w:autoSpaceDE w:val="0"/>
        <w:autoSpaceDN w:val="0"/>
        <w:adjustRightInd w:val="0"/>
        <w:spacing w:after="0" w:line="240" w:lineRule="auto"/>
        <w:ind w:left="180" w:hanging="180"/>
        <w:rPr>
          <w:rFonts w:ascii="Calibri" w:hAnsi="Calibri" w:cs="Calibri"/>
          <w:color w:val="000000"/>
        </w:rPr>
      </w:pPr>
      <w:r w:rsidRPr="00F7744C">
        <w:rPr>
          <w:rFonts w:ascii="Calibri" w:hAnsi="Calibri" w:cs="Calibri"/>
          <w:color w:val="000000"/>
        </w:rPr>
        <w:t xml:space="preserve">• In accordance with the United States Protecting Life in Global Health Assistance policy, all non-governmental organization (NGO) applicants acknowledge that foreign NGOs that receive funds provided through this award, either as a prime recipient or subrecipient, are strictly prohibited, regardless of the source of funds, from performing abortions as a method of family planning or engaging in any activity that promotes abortion as a method of family planning, or to provide financial support to any other foreign non-governmental organization that conducts such activities. </w:t>
      </w:r>
    </w:p>
    <w:p w:rsidR="00DD224C" w:rsidP="00F7744C" w:rsidRDefault="00DD224C" w14:paraId="5867BAEC" w14:textId="77777777">
      <w:pPr>
        <w:rPr>
          <w:sz w:val="24"/>
          <w:szCs w:val="24"/>
        </w:rPr>
      </w:pPr>
    </w:p>
    <w:p w:rsidR="00DD224C" w:rsidP="00DD224C" w:rsidRDefault="00DD224C" w14:paraId="1E7AD08B" w14:textId="77777777">
      <w:pPr>
        <w:jc w:val="center"/>
        <w:rPr>
          <w:sz w:val="24"/>
          <w:szCs w:val="24"/>
        </w:rPr>
      </w:pPr>
    </w:p>
    <w:p w:rsidR="00DD224C" w:rsidP="007C418F" w:rsidRDefault="00DD224C" w14:paraId="689F320B" w14:textId="77777777">
      <w:pPr>
        <w:rPr>
          <w:sz w:val="24"/>
          <w:szCs w:val="24"/>
        </w:rPr>
      </w:pPr>
    </w:p>
    <w:p w:rsidR="00DD224C" w:rsidP="00DD224C" w:rsidRDefault="00DD224C" w14:paraId="3E4FD020" w14:textId="77777777">
      <w:pPr>
        <w:jc w:val="center"/>
        <w:rPr>
          <w:sz w:val="24"/>
          <w:szCs w:val="24"/>
        </w:rPr>
      </w:pPr>
    </w:p>
    <w:p w:rsidR="00DD224C" w:rsidP="00DD224C" w:rsidRDefault="00DD224C" w14:paraId="16F02655" w14:textId="77777777">
      <w:pPr>
        <w:jc w:val="center"/>
        <w:rPr>
          <w:sz w:val="24"/>
          <w:szCs w:val="24"/>
        </w:rPr>
      </w:pPr>
    </w:p>
    <w:sectPr w:rsidR="00DD224C" w:rsidSect="00D53B08">
      <w:footerReference w:type="default" r:id="rId2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47D" w:rsidP="00E952F9" w:rsidRDefault="00EC547D" w14:paraId="1E8EA76E" w14:textId="77777777">
      <w:pPr>
        <w:spacing w:after="0" w:line="240" w:lineRule="auto"/>
      </w:pPr>
      <w:r>
        <w:separator/>
      </w:r>
    </w:p>
  </w:endnote>
  <w:endnote w:type="continuationSeparator" w:id="0">
    <w:p w:rsidR="00EC547D" w:rsidP="00E952F9" w:rsidRDefault="00EC547D" w14:paraId="325F87F7" w14:textId="77777777">
      <w:pPr>
        <w:spacing w:after="0" w:line="240" w:lineRule="auto"/>
      </w:pPr>
      <w:r>
        <w:continuationSeparator/>
      </w:r>
    </w:p>
  </w:endnote>
  <w:endnote w:type="continuationNotice" w:id="1">
    <w:p w:rsidR="00EC547D" w:rsidRDefault="00EC547D" w14:paraId="2BE8A6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57555"/>
      <w:docPartObj>
        <w:docPartGallery w:val="Page Numbers (Bottom of Page)"/>
        <w:docPartUnique/>
      </w:docPartObj>
    </w:sdtPr>
    <w:sdtEndPr>
      <w:rPr>
        <w:color w:val="808080" w:themeColor="background1" w:themeShade="80"/>
        <w:spacing w:val="60"/>
      </w:rPr>
    </w:sdtEndPr>
    <w:sdtContent>
      <w:p w:rsidR="00E0282B" w:rsidRDefault="00E0282B" w14:paraId="6FC0E6CC"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57197B" w:rsidR="0057197B">
          <w:rPr>
            <w:b/>
            <w:bCs/>
            <w:noProof/>
          </w:rPr>
          <w:t>6</w:t>
        </w:r>
        <w:r>
          <w:rPr>
            <w:b/>
            <w:bCs/>
            <w:noProof/>
          </w:rPr>
          <w:fldChar w:fldCharType="end"/>
        </w:r>
        <w:r>
          <w:rPr>
            <w:b/>
            <w:bCs/>
          </w:rPr>
          <w:t xml:space="preserve"> | </w:t>
        </w:r>
        <w:r>
          <w:rPr>
            <w:color w:val="808080" w:themeColor="background1" w:themeShade="80"/>
            <w:spacing w:val="60"/>
          </w:rPr>
          <w:t>Page</w:t>
        </w:r>
      </w:p>
    </w:sdtContent>
  </w:sdt>
  <w:p w:rsidR="00E952F9" w:rsidRDefault="00E952F9" w14:paraId="566317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47D" w:rsidP="00E952F9" w:rsidRDefault="00EC547D" w14:paraId="1661C51D" w14:textId="77777777">
      <w:pPr>
        <w:spacing w:after="0" w:line="240" w:lineRule="auto"/>
      </w:pPr>
      <w:r>
        <w:separator/>
      </w:r>
    </w:p>
  </w:footnote>
  <w:footnote w:type="continuationSeparator" w:id="0">
    <w:p w:rsidR="00EC547D" w:rsidP="00E952F9" w:rsidRDefault="00EC547D" w14:paraId="355AC0D4" w14:textId="77777777">
      <w:pPr>
        <w:spacing w:after="0" w:line="240" w:lineRule="auto"/>
      </w:pPr>
      <w:r>
        <w:continuationSeparator/>
      </w:r>
    </w:p>
  </w:footnote>
  <w:footnote w:type="continuationNotice" w:id="1">
    <w:p w:rsidR="00EC547D" w:rsidRDefault="00EC547D" w14:paraId="3F41F8F0"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XRzDxcZnpA7yDi" int2:id="PLaKIQY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0" w:hanging="360"/>
      </w:pPr>
      <w:rPr>
        <w:rFonts w:ascii="Times New Roman" w:hAnsi="Times New Roman" w:cs="Times New Roman"/>
        <w:b w:val="0"/>
        <w:bCs w:val="0"/>
        <w:spacing w:val="-2"/>
        <w:w w:val="99"/>
        <w:sz w:val="20"/>
        <w:szCs w:val="20"/>
      </w:rPr>
    </w:lvl>
    <w:lvl w:ilvl="1">
      <w:numFmt w:val="bullet"/>
      <w:lvlText w:val="•"/>
      <w:lvlJc w:val="left"/>
      <w:pPr>
        <w:ind w:left="1357" w:hanging="360"/>
      </w:pPr>
    </w:lvl>
    <w:lvl w:ilvl="2">
      <w:numFmt w:val="bullet"/>
      <w:lvlText w:val="•"/>
      <w:lvlJc w:val="left"/>
      <w:pPr>
        <w:ind w:left="2235" w:hanging="360"/>
      </w:pPr>
    </w:lvl>
    <w:lvl w:ilvl="3">
      <w:numFmt w:val="bullet"/>
      <w:lvlText w:val="•"/>
      <w:lvlJc w:val="left"/>
      <w:pPr>
        <w:ind w:left="3113" w:hanging="360"/>
      </w:pPr>
    </w:lvl>
    <w:lvl w:ilvl="4">
      <w:numFmt w:val="bullet"/>
      <w:lvlText w:val="•"/>
      <w:lvlJc w:val="left"/>
      <w:pPr>
        <w:ind w:left="3991" w:hanging="360"/>
      </w:pPr>
    </w:lvl>
    <w:lvl w:ilvl="5">
      <w:numFmt w:val="bullet"/>
      <w:lvlText w:val="•"/>
      <w:lvlJc w:val="left"/>
      <w:pPr>
        <w:ind w:left="4869" w:hanging="360"/>
      </w:pPr>
    </w:lvl>
    <w:lvl w:ilvl="6">
      <w:numFmt w:val="bullet"/>
      <w:lvlText w:val="•"/>
      <w:lvlJc w:val="left"/>
      <w:pPr>
        <w:ind w:left="5747" w:hanging="360"/>
      </w:pPr>
    </w:lvl>
    <w:lvl w:ilvl="7">
      <w:numFmt w:val="bullet"/>
      <w:lvlText w:val="•"/>
      <w:lvlJc w:val="left"/>
      <w:pPr>
        <w:ind w:left="6625" w:hanging="360"/>
      </w:pPr>
    </w:lvl>
    <w:lvl w:ilvl="8">
      <w:numFmt w:val="bullet"/>
      <w:lvlText w:val="•"/>
      <w:lvlJc w:val="left"/>
      <w:pPr>
        <w:ind w:left="7503" w:hanging="360"/>
      </w:pPr>
    </w:lvl>
  </w:abstractNum>
  <w:abstractNum w:abstractNumId="1" w15:restartNumberingAfterBreak="0">
    <w:nsid w:val="00000403"/>
    <w:multiLevelType w:val="multilevel"/>
    <w:tmpl w:val="00000886"/>
    <w:lvl w:ilvl="0">
      <w:start w:val="1"/>
      <w:numFmt w:val="decimal"/>
      <w:lvlText w:val="%1."/>
      <w:lvlJc w:val="left"/>
      <w:pPr>
        <w:ind w:left="480" w:hanging="360"/>
      </w:pPr>
      <w:rPr>
        <w:rFonts w:ascii="Times New Roman" w:hAnsi="Times New Roman" w:cs="Times New Roman"/>
        <w:b w:val="0"/>
        <w:bCs w:val="0"/>
        <w:spacing w:val="-2"/>
        <w:w w:val="99"/>
        <w:sz w:val="20"/>
        <w:szCs w:val="20"/>
      </w:rPr>
    </w:lvl>
    <w:lvl w:ilvl="1">
      <w:numFmt w:val="bullet"/>
      <w:lvlText w:val="•"/>
      <w:lvlJc w:val="left"/>
      <w:pPr>
        <w:ind w:left="1357" w:hanging="360"/>
      </w:pPr>
    </w:lvl>
    <w:lvl w:ilvl="2">
      <w:numFmt w:val="bullet"/>
      <w:lvlText w:val="•"/>
      <w:lvlJc w:val="left"/>
      <w:pPr>
        <w:ind w:left="2235" w:hanging="360"/>
      </w:pPr>
    </w:lvl>
    <w:lvl w:ilvl="3">
      <w:numFmt w:val="bullet"/>
      <w:lvlText w:val="•"/>
      <w:lvlJc w:val="left"/>
      <w:pPr>
        <w:ind w:left="3113" w:hanging="360"/>
      </w:pPr>
    </w:lvl>
    <w:lvl w:ilvl="4">
      <w:numFmt w:val="bullet"/>
      <w:lvlText w:val="•"/>
      <w:lvlJc w:val="left"/>
      <w:pPr>
        <w:ind w:left="3991" w:hanging="360"/>
      </w:pPr>
    </w:lvl>
    <w:lvl w:ilvl="5">
      <w:numFmt w:val="bullet"/>
      <w:lvlText w:val="•"/>
      <w:lvlJc w:val="left"/>
      <w:pPr>
        <w:ind w:left="4869" w:hanging="360"/>
      </w:pPr>
    </w:lvl>
    <w:lvl w:ilvl="6">
      <w:numFmt w:val="bullet"/>
      <w:lvlText w:val="•"/>
      <w:lvlJc w:val="left"/>
      <w:pPr>
        <w:ind w:left="5747" w:hanging="360"/>
      </w:pPr>
    </w:lvl>
    <w:lvl w:ilvl="7">
      <w:numFmt w:val="bullet"/>
      <w:lvlText w:val="•"/>
      <w:lvlJc w:val="left"/>
      <w:pPr>
        <w:ind w:left="6625" w:hanging="360"/>
      </w:pPr>
    </w:lvl>
    <w:lvl w:ilvl="8">
      <w:numFmt w:val="bullet"/>
      <w:lvlText w:val="•"/>
      <w:lvlJc w:val="left"/>
      <w:pPr>
        <w:ind w:left="7503" w:hanging="360"/>
      </w:pPr>
    </w:lvl>
  </w:abstractNum>
  <w:abstractNum w:abstractNumId="2" w15:restartNumberingAfterBreak="0">
    <w:nsid w:val="00000404"/>
    <w:multiLevelType w:val="multilevel"/>
    <w:tmpl w:val="00000887"/>
    <w:lvl w:ilvl="0">
      <w:start w:val="7"/>
      <w:numFmt w:val="decimal"/>
      <w:lvlText w:val="%1."/>
      <w:lvlJc w:val="left"/>
      <w:pPr>
        <w:ind w:left="460" w:hanging="360"/>
      </w:pPr>
      <w:rPr>
        <w:rFonts w:ascii="Times New Roman" w:hAnsi="Times New Roman" w:cs="Times New Roman"/>
        <w:b w:val="0"/>
        <w:bCs w:val="0"/>
        <w:spacing w:val="-2"/>
        <w:w w:val="99"/>
        <w:sz w:val="20"/>
        <w:szCs w:val="20"/>
      </w:rPr>
    </w:lvl>
    <w:lvl w:ilvl="1">
      <w:numFmt w:val="bullet"/>
      <w:lvlText w:val="•"/>
      <w:lvlJc w:val="left"/>
      <w:pPr>
        <w:ind w:left="1337" w:hanging="360"/>
      </w:pPr>
    </w:lvl>
    <w:lvl w:ilvl="2">
      <w:numFmt w:val="bullet"/>
      <w:lvlText w:val="•"/>
      <w:lvlJc w:val="left"/>
      <w:pPr>
        <w:ind w:left="2215" w:hanging="360"/>
      </w:pPr>
    </w:lvl>
    <w:lvl w:ilvl="3">
      <w:numFmt w:val="bullet"/>
      <w:lvlText w:val="•"/>
      <w:lvlJc w:val="left"/>
      <w:pPr>
        <w:ind w:left="3093" w:hanging="360"/>
      </w:pPr>
    </w:lvl>
    <w:lvl w:ilvl="4">
      <w:numFmt w:val="bullet"/>
      <w:lvlText w:val="•"/>
      <w:lvlJc w:val="left"/>
      <w:pPr>
        <w:ind w:left="3971" w:hanging="360"/>
      </w:pPr>
    </w:lvl>
    <w:lvl w:ilvl="5">
      <w:numFmt w:val="bullet"/>
      <w:lvlText w:val="•"/>
      <w:lvlJc w:val="left"/>
      <w:pPr>
        <w:ind w:left="4849" w:hanging="360"/>
      </w:pPr>
    </w:lvl>
    <w:lvl w:ilvl="6">
      <w:numFmt w:val="bullet"/>
      <w:lvlText w:val="•"/>
      <w:lvlJc w:val="left"/>
      <w:pPr>
        <w:ind w:left="5727" w:hanging="360"/>
      </w:pPr>
    </w:lvl>
    <w:lvl w:ilvl="7">
      <w:numFmt w:val="bullet"/>
      <w:lvlText w:val="•"/>
      <w:lvlJc w:val="left"/>
      <w:pPr>
        <w:ind w:left="6605" w:hanging="360"/>
      </w:pPr>
    </w:lvl>
    <w:lvl w:ilvl="8">
      <w:numFmt w:val="bullet"/>
      <w:lvlText w:val="•"/>
      <w:lvlJc w:val="left"/>
      <w:pPr>
        <w:ind w:left="7483" w:hanging="360"/>
      </w:pPr>
    </w:lvl>
  </w:abstractNum>
  <w:abstractNum w:abstractNumId="3" w15:restartNumberingAfterBreak="0">
    <w:nsid w:val="00000405"/>
    <w:multiLevelType w:val="multilevel"/>
    <w:tmpl w:val="00000888"/>
    <w:lvl w:ilvl="0">
      <w:start w:val="12"/>
      <w:numFmt w:val="decimal"/>
      <w:lvlText w:val="%1."/>
      <w:lvlJc w:val="left"/>
      <w:pPr>
        <w:ind w:left="460" w:hanging="360"/>
      </w:pPr>
      <w:rPr>
        <w:rFonts w:ascii="Times New Roman" w:hAnsi="Times New Roman" w:cs="Times New Roman"/>
        <w:b w:val="0"/>
        <w:bCs w:val="0"/>
        <w:spacing w:val="1"/>
        <w:w w:val="99"/>
        <w:sz w:val="20"/>
        <w:szCs w:val="20"/>
      </w:rPr>
    </w:lvl>
    <w:lvl w:ilvl="1">
      <w:numFmt w:val="bullet"/>
      <w:lvlText w:val="•"/>
      <w:lvlJc w:val="left"/>
      <w:pPr>
        <w:ind w:left="1337" w:hanging="360"/>
      </w:pPr>
    </w:lvl>
    <w:lvl w:ilvl="2">
      <w:numFmt w:val="bullet"/>
      <w:lvlText w:val="•"/>
      <w:lvlJc w:val="left"/>
      <w:pPr>
        <w:ind w:left="2215" w:hanging="360"/>
      </w:pPr>
    </w:lvl>
    <w:lvl w:ilvl="3">
      <w:numFmt w:val="bullet"/>
      <w:lvlText w:val="•"/>
      <w:lvlJc w:val="left"/>
      <w:pPr>
        <w:ind w:left="3093" w:hanging="360"/>
      </w:pPr>
    </w:lvl>
    <w:lvl w:ilvl="4">
      <w:numFmt w:val="bullet"/>
      <w:lvlText w:val="•"/>
      <w:lvlJc w:val="left"/>
      <w:pPr>
        <w:ind w:left="3971" w:hanging="360"/>
      </w:pPr>
    </w:lvl>
    <w:lvl w:ilvl="5">
      <w:numFmt w:val="bullet"/>
      <w:lvlText w:val="•"/>
      <w:lvlJc w:val="left"/>
      <w:pPr>
        <w:ind w:left="4849" w:hanging="360"/>
      </w:pPr>
    </w:lvl>
    <w:lvl w:ilvl="6">
      <w:numFmt w:val="bullet"/>
      <w:lvlText w:val="•"/>
      <w:lvlJc w:val="left"/>
      <w:pPr>
        <w:ind w:left="5727" w:hanging="360"/>
      </w:pPr>
    </w:lvl>
    <w:lvl w:ilvl="7">
      <w:numFmt w:val="bullet"/>
      <w:lvlText w:val="•"/>
      <w:lvlJc w:val="left"/>
      <w:pPr>
        <w:ind w:left="6605" w:hanging="360"/>
      </w:pPr>
    </w:lvl>
    <w:lvl w:ilvl="8">
      <w:numFmt w:val="bullet"/>
      <w:lvlText w:val="•"/>
      <w:lvlJc w:val="left"/>
      <w:pPr>
        <w:ind w:left="7483" w:hanging="360"/>
      </w:pPr>
    </w:lvl>
  </w:abstractNum>
  <w:abstractNum w:abstractNumId="4" w15:restartNumberingAfterBreak="0">
    <w:nsid w:val="00000406"/>
    <w:multiLevelType w:val="multilevel"/>
    <w:tmpl w:val="00000889"/>
    <w:lvl w:ilvl="0">
      <w:start w:val="21"/>
      <w:numFmt w:val="decimal"/>
      <w:lvlText w:val="%1."/>
      <w:lvlJc w:val="left"/>
      <w:pPr>
        <w:ind w:left="460" w:hanging="360"/>
      </w:pPr>
      <w:rPr>
        <w:rFonts w:ascii="Times New Roman" w:hAnsi="Times New Roman" w:cs="Times New Roman"/>
        <w:b w:val="0"/>
        <w:bCs w:val="0"/>
        <w:spacing w:val="1"/>
        <w:w w:val="99"/>
        <w:sz w:val="20"/>
        <w:szCs w:val="20"/>
      </w:rPr>
    </w:lvl>
    <w:lvl w:ilvl="1">
      <w:numFmt w:val="bullet"/>
      <w:lvlText w:val="•"/>
      <w:lvlJc w:val="left"/>
      <w:pPr>
        <w:ind w:left="1337" w:hanging="360"/>
      </w:pPr>
    </w:lvl>
    <w:lvl w:ilvl="2">
      <w:numFmt w:val="bullet"/>
      <w:lvlText w:val="•"/>
      <w:lvlJc w:val="left"/>
      <w:pPr>
        <w:ind w:left="2215" w:hanging="360"/>
      </w:pPr>
    </w:lvl>
    <w:lvl w:ilvl="3">
      <w:numFmt w:val="bullet"/>
      <w:lvlText w:val="•"/>
      <w:lvlJc w:val="left"/>
      <w:pPr>
        <w:ind w:left="3093" w:hanging="360"/>
      </w:pPr>
    </w:lvl>
    <w:lvl w:ilvl="4">
      <w:numFmt w:val="bullet"/>
      <w:lvlText w:val="•"/>
      <w:lvlJc w:val="left"/>
      <w:pPr>
        <w:ind w:left="3971" w:hanging="360"/>
      </w:pPr>
    </w:lvl>
    <w:lvl w:ilvl="5">
      <w:numFmt w:val="bullet"/>
      <w:lvlText w:val="•"/>
      <w:lvlJc w:val="left"/>
      <w:pPr>
        <w:ind w:left="4849" w:hanging="360"/>
      </w:pPr>
    </w:lvl>
    <w:lvl w:ilvl="6">
      <w:numFmt w:val="bullet"/>
      <w:lvlText w:val="•"/>
      <w:lvlJc w:val="left"/>
      <w:pPr>
        <w:ind w:left="5727" w:hanging="360"/>
      </w:pPr>
    </w:lvl>
    <w:lvl w:ilvl="7">
      <w:numFmt w:val="bullet"/>
      <w:lvlText w:val="•"/>
      <w:lvlJc w:val="left"/>
      <w:pPr>
        <w:ind w:left="6605" w:hanging="360"/>
      </w:pPr>
    </w:lvl>
    <w:lvl w:ilvl="8">
      <w:numFmt w:val="bullet"/>
      <w:lvlText w:val="•"/>
      <w:lvlJc w:val="left"/>
      <w:pPr>
        <w:ind w:left="7483" w:hanging="360"/>
      </w:pPr>
    </w:lvl>
  </w:abstractNum>
  <w:abstractNum w:abstractNumId="5" w15:restartNumberingAfterBreak="0">
    <w:nsid w:val="02401043"/>
    <w:multiLevelType w:val="hybridMultilevel"/>
    <w:tmpl w:val="26E45EB4"/>
    <w:lvl w:ilvl="0" w:tplc="94668ED2">
      <w:start w:val="1"/>
      <w:numFmt w:val="decimal"/>
      <w:lvlText w:val="%1."/>
      <w:lvlJc w:val="left"/>
      <w:pPr>
        <w:ind w:left="720" w:hanging="360"/>
      </w:pPr>
    </w:lvl>
    <w:lvl w:ilvl="1" w:tplc="969454E2">
      <w:start w:val="1"/>
      <w:numFmt w:val="lowerLetter"/>
      <w:lvlText w:val="%2."/>
      <w:lvlJc w:val="left"/>
      <w:pPr>
        <w:ind w:left="1440" w:hanging="360"/>
      </w:pPr>
    </w:lvl>
    <w:lvl w:ilvl="2" w:tplc="F2B47762">
      <w:start w:val="1"/>
      <w:numFmt w:val="lowerRoman"/>
      <w:lvlText w:val="%3."/>
      <w:lvlJc w:val="right"/>
      <w:pPr>
        <w:ind w:left="2160" w:hanging="180"/>
      </w:pPr>
    </w:lvl>
    <w:lvl w:ilvl="3" w:tplc="6946FC80">
      <w:start w:val="1"/>
      <w:numFmt w:val="decimal"/>
      <w:lvlText w:val="%4."/>
      <w:lvlJc w:val="left"/>
      <w:pPr>
        <w:ind w:left="2880" w:hanging="360"/>
      </w:pPr>
    </w:lvl>
    <w:lvl w:ilvl="4" w:tplc="3FDC5BA0">
      <w:start w:val="1"/>
      <w:numFmt w:val="lowerLetter"/>
      <w:lvlText w:val="%5."/>
      <w:lvlJc w:val="left"/>
      <w:pPr>
        <w:ind w:left="3600" w:hanging="360"/>
      </w:pPr>
    </w:lvl>
    <w:lvl w:ilvl="5" w:tplc="62B4F290">
      <w:start w:val="1"/>
      <w:numFmt w:val="lowerRoman"/>
      <w:lvlText w:val="%6."/>
      <w:lvlJc w:val="right"/>
      <w:pPr>
        <w:ind w:left="4320" w:hanging="180"/>
      </w:pPr>
    </w:lvl>
    <w:lvl w:ilvl="6" w:tplc="3FF88978">
      <w:start w:val="1"/>
      <w:numFmt w:val="decimal"/>
      <w:lvlText w:val="%7."/>
      <w:lvlJc w:val="left"/>
      <w:pPr>
        <w:ind w:left="5040" w:hanging="360"/>
      </w:pPr>
    </w:lvl>
    <w:lvl w:ilvl="7" w:tplc="53009374">
      <w:start w:val="1"/>
      <w:numFmt w:val="lowerLetter"/>
      <w:lvlText w:val="%8."/>
      <w:lvlJc w:val="left"/>
      <w:pPr>
        <w:ind w:left="5760" w:hanging="360"/>
      </w:pPr>
    </w:lvl>
    <w:lvl w:ilvl="8" w:tplc="42CAA30A">
      <w:start w:val="1"/>
      <w:numFmt w:val="lowerRoman"/>
      <w:lvlText w:val="%9."/>
      <w:lvlJc w:val="right"/>
      <w:pPr>
        <w:ind w:left="6480" w:hanging="180"/>
      </w:pPr>
    </w:lvl>
  </w:abstractNum>
  <w:abstractNum w:abstractNumId="6" w15:restartNumberingAfterBreak="0">
    <w:nsid w:val="02F9361E"/>
    <w:multiLevelType w:val="hybridMultilevel"/>
    <w:tmpl w:val="A92EDA52"/>
    <w:lvl w:ilvl="0" w:tplc="222426C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3718D6"/>
    <w:multiLevelType w:val="hybridMultilevel"/>
    <w:tmpl w:val="7F708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3962CA"/>
    <w:multiLevelType w:val="hybridMultilevel"/>
    <w:tmpl w:val="743C8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1615B09"/>
    <w:multiLevelType w:val="hybridMultilevel"/>
    <w:tmpl w:val="56845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FE4E52"/>
    <w:multiLevelType w:val="hybridMultilevel"/>
    <w:tmpl w:val="C6FC657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33F010C"/>
    <w:multiLevelType w:val="hybridMultilevel"/>
    <w:tmpl w:val="ADFC145E"/>
    <w:lvl w:ilvl="0" w:tplc="079A0B8E">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hint="default" w:ascii="Symbol" w:hAnsi="Symbo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6111D3"/>
    <w:multiLevelType w:val="hybridMultilevel"/>
    <w:tmpl w:val="07D82F8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13" w15:restartNumberingAfterBreak="0">
    <w:nsid w:val="154C2775"/>
    <w:multiLevelType w:val="hybridMultilevel"/>
    <w:tmpl w:val="EA3A391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336A41"/>
    <w:multiLevelType w:val="hybridMultilevel"/>
    <w:tmpl w:val="BF98D552"/>
    <w:lvl w:ilvl="0" w:tplc="04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AEF0AAD"/>
    <w:multiLevelType w:val="hybridMultilevel"/>
    <w:tmpl w:val="35EAA6E8"/>
    <w:lvl w:ilvl="0" w:tplc="FFFFFFFF">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0409000F">
      <w:start w:val="1"/>
      <w:numFmt w:val="decimal"/>
      <w:lvlText w:val="%6."/>
      <w:lvlJc w:val="left"/>
      <w:pPr>
        <w:ind w:left="4320" w:hanging="360"/>
      </w:pPr>
      <w:rPr>
        <w:rFonts w:hint="default"/>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2FB3E84"/>
    <w:multiLevelType w:val="hybridMultilevel"/>
    <w:tmpl w:val="27C03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5C3746B"/>
    <w:multiLevelType w:val="hybridMultilevel"/>
    <w:tmpl w:val="7B18E9CC"/>
    <w:lvl w:ilvl="0" w:tplc="444C6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86EFF"/>
    <w:multiLevelType w:val="hybridMultilevel"/>
    <w:tmpl w:val="EB3E6862"/>
    <w:lvl w:ilvl="0" w:tplc="0876F51E">
      <w:start w:val="1"/>
      <w:numFmt w:val="decimal"/>
      <w:lvlText w:val="%1."/>
      <w:lvlJc w:val="left"/>
      <w:pPr>
        <w:ind w:left="720" w:hanging="360"/>
      </w:pPr>
    </w:lvl>
    <w:lvl w:ilvl="1" w:tplc="41C6DB5C">
      <w:start w:val="1"/>
      <w:numFmt w:val="lowerLetter"/>
      <w:lvlText w:val="%2."/>
      <w:lvlJc w:val="left"/>
      <w:pPr>
        <w:ind w:left="1440" w:hanging="360"/>
      </w:pPr>
    </w:lvl>
    <w:lvl w:ilvl="2" w:tplc="01E62D8C">
      <w:start w:val="1"/>
      <w:numFmt w:val="lowerRoman"/>
      <w:lvlText w:val="%3."/>
      <w:lvlJc w:val="right"/>
      <w:pPr>
        <w:ind w:left="2160" w:hanging="180"/>
      </w:pPr>
    </w:lvl>
    <w:lvl w:ilvl="3" w:tplc="999EC290">
      <w:start w:val="1"/>
      <w:numFmt w:val="decimal"/>
      <w:lvlText w:val="%4."/>
      <w:lvlJc w:val="left"/>
      <w:pPr>
        <w:ind w:left="2880" w:hanging="360"/>
      </w:pPr>
    </w:lvl>
    <w:lvl w:ilvl="4" w:tplc="C8840758">
      <w:start w:val="1"/>
      <w:numFmt w:val="lowerLetter"/>
      <w:lvlText w:val="%5."/>
      <w:lvlJc w:val="left"/>
      <w:pPr>
        <w:ind w:left="3600" w:hanging="360"/>
      </w:pPr>
    </w:lvl>
    <w:lvl w:ilvl="5" w:tplc="132AB714">
      <w:start w:val="1"/>
      <w:numFmt w:val="lowerRoman"/>
      <w:lvlText w:val="%6."/>
      <w:lvlJc w:val="right"/>
      <w:pPr>
        <w:ind w:left="4320" w:hanging="180"/>
      </w:pPr>
    </w:lvl>
    <w:lvl w:ilvl="6" w:tplc="0E3A0694">
      <w:start w:val="1"/>
      <w:numFmt w:val="decimal"/>
      <w:lvlText w:val="%7."/>
      <w:lvlJc w:val="left"/>
      <w:pPr>
        <w:ind w:left="5040" w:hanging="360"/>
      </w:pPr>
    </w:lvl>
    <w:lvl w:ilvl="7" w:tplc="C526BAF2">
      <w:start w:val="1"/>
      <w:numFmt w:val="lowerLetter"/>
      <w:lvlText w:val="%8."/>
      <w:lvlJc w:val="left"/>
      <w:pPr>
        <w:ind w:left="5760" w:hanging="360"/>
      </w:pPr>
    </w:lvl>
    <w:lvl w:ilvl="8" w:tplc="4AD8AC56">
      <w:start w:val="1"/>
      <w:numFmt w:val="lowerRoman"/>
      <w:lvlText w:val="%9."/>
      <w:lvlJc w:val="right"/>
      <w:pPr>
        <w:ind w:left="6480" w:hanging="180"/>
      </w:pPr>
    </w:lvl>
  </w:abstractNum>
  <w:abstractNum w:abstractNumId="19" w15:restartNumberingAfterBreak="0">
    <w:nsid w:val="2D6E1E43"/>
    <w:multiLevelType w:val="hybridMultilevel"/>
    <w:tmpl w:val="2F94C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E885106"/>
    <w:multiLevelType w:val="hybridMultilevel"/>
    <w:tmpl w:val="42AE6B9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21" w15:restartNumberingAfterBreak="0">
    <w:nsid w:val="30317EF3"/>
    <w:multiLevelType w:val="hybridMultilevel"/>
    <w:tmpl w:val="E85A6952"/>
    <w:lvl w:ilvl="0" w:tplc="DFD8EE58">
      <w:start w:val="1"/>
      <w:numFmt w:val="decimal"/>
      <w:lvlText w:val="%1."/>
      <w:lvlJc w:val="left"/>
      <w:pPr>
        <w:ind w:left="720" w:hanging="360"/>
      </w:pPr>
    </w:lvl>
    <w:lvl w:ilvl="1" w:tplc="3FD060A4">
      <w:start w:val="1"/>
      <w:numFmt w:val="lowerLetter"/>
      <w:lvlText w:val="%2."/>
      <w:lvlJc w:val="left"/>
      <w:pPr>
        <w:ind w:left="1440" w:hanging="360"/>
      </w:pPr>
    </w:lvl>
    <w:lvl w:ilvl="2" w:tplc="DF7E969E">
      <w:start w:val="1"/>
      <w:numFmt w:val="lowerRoman"/>
      <w:lvlText w:val="%3."/>
      <w:lvlJc w:val="right"/>
      <w:pPr>
        <w:ind w:left="2160" w:hanging="180"/>
      </w:pPr>
    </w:lvl>
    <w:lvl w:ilvl="3" w:tplc="9EC0AA60">
      <w:start w:val="1"/>
      <w:numFmt w:val="decimal"/>
      <w:lvlText w:val="%4."/>
      <w:lvlJc w:val="left"/>
      <w:pPr>
        <w:ind w:left="2880" w:hanging="360"/>
      </w:pPr>
    </w:lvl>
    <w:lvl w:ilvl="4" w:tplc="C8866E36">
      <w:start w:val="1"/>
      <w:numFmt w:val="lowerLetter"/>
      <w:lvlText w:val="%5."/>
      <w:lvlJc w:val="left"/>
      <w:pPr>
        <w:ind w:left="3600" w:hanging="360"/>
      </w:pPr>
    </w:lvl>
    <w:lvl w:ilvl="5" w:tplc="8B0EFEC0">
      <w:start w:val="1"/>
      <w:numFmt w:val="lowerRoman"/>
      <w:lvlText w:val="%6."/>
      <w:lvlJc w:val="right"/>
      <w:pPr>
        <w:ind w:left="4320" w:hanging="180"/>
      </w:pPr>
    </w:lvl>
    <w:lvl w:ilvl="6" w:tplc="9E7453FE">
      <w:start w:val="1"/>
      <w:numFmt w:val="decimal"/>
      <w:lvlText w:val="%7."/>
      <w:lvlJc w:val="left"/>
      <w:pPr>
        <w:ind w:left="5040" w:hanging="360"/>
      </w:pPr>
    </w:lvl>
    <w:lvl w:ilvl="7" w:tplc="B72483CA">
      <w:start w:val="1"/>
      <w:numFmt w:val="lowerLetter"/>
      <w:lvlText w:val="%8."/>
      <w:lvlJc w:val="left"/>
      <w:pPr>
        <w:ind w:left="5760" w:hanging="360"/>
      </w:pPr>
    </w:lvl>
    <w:lvl w:ilvl="8" w:tplc="5964D83E">
      <w:start w:val="1"/>
      <w:numFmt w:val="lowerRoman"/>
      <w:lvlText w:val="%9."/>
      <w:lvlJc w:val="right"/>
      <w:pPr>
        <w:ind w:left="6480" w:hanging="180"/>
      </w:pPr>
    </w:lvl>
  </w:abstractNum>
  <w:abstractNum w:abstractNumId="22" w15:restartNumberingAfterBreak="0">
    <w:nsid w:val="30FF74AF"/>
    <w:multiLevelType w:val="hybridMultilevel"/>
    <w:tmpl w:val="5AC0E7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492C66"/>
    <w:multiLevelType w:val="hybridMultilevel"/>
    <w:tmpl w:val="66AEB4DC"/>
    <w:lvl w:ilvl="0" w:tplc="565A4D06">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7806046"/>
    <w:multiLevelType w:val="hybridMultilevel"/>
    <w:tmpl w:val="76B67DEA"/>
    <w:lvl w:ilvl="0" w:tplc="04090001">
      <w:start w:val="1"/>
      <w:numFmt w:val="bullet"/>
      <w:lvlText w:val=""/>
      <w:lvlJc w:val="left"/>
      <w:pPr>
        <w:ind w:left="855" w:hanging="360"/>
      </w:pPr>
      <w:rPr>
        <w:rFonts w:hint="default" w:ascii="Symbol" w:hAnsi="Symbol"/>
      </w:rPr>
    </w:lvl>
    <w:lvl w:ilvl="1" w:tplc="04090003" w:tentative="1">
      <w:start w:val="1"/>
      <w:numFmt w:val="bullet"/>
      <w:lvlText w:val="o"/>
      <w:lvlJc w:val="left"/>
      <w:pPr>
        <w:ind w:left="1575" w:hanging="360"/>
      </w:pPr>
      <w:rPr>
        <w:rFonts w:hint="default" w:ascii="Courier New" w:hAnsi="Courier New" w:cs="Courier New"/>
      </w:rPr>
    </w:lvl>
    <w:lvl w:ilvl="2" w:tplc="04090005" w:tentative="1">
      <w:start w:val="1"/>
      <w:numFmt w:val="bullet"/>
      <w:lvlText w:val=""/>
      <w:lvlJc w:val="left"/>
      <w:pPr>
        <w:ind w:left="2295" w:hanging="360"/>
      </w:pPr>
      <w:rPr>
        <w:rFonts w:hint="default" w:ascii="Wingdings" w:hAnsi="Wingdings"/>
      </w:rPr>
    </w:lvl>
    <w:lvl w:ilvl="3" w:tplc="04090001" w:tentative="1">
      <w:start w:val="1"/>
      <w:numFmt w:val="bullet"/>
      <w:lvlText w:val=""/>
      <w:lvlJc w:val="left"/>
      <w:pPr>
        <w:ind w:left="3015" w:hanging="360"/>
      </w:pPr>
      <w:rPr>
        <w:rFonts w:hint="default" w:ascii="Symbol" w:hAnsi="Symbol"/>
      </w:rPr>
    </w:lvl>
    <w:lvl w:ilvl="4" w:tplc="04090003" w:tentative="1">
      <w:start w:val="1"/>
      <w:numFmt w:val="bullet"/>
      <w:lvlText w:val="o"/>
      <w:lvlJc w:val="left"/>
      <w:pPr>
        <w:ind w:left="3735" w:hanging="360"/>
      </w:pPr>
      <w:rPr>
        <w:rFonts w:hint="default" w:ascii="Courier New" w:hAnsi="Courier New" w:cs="Courier New"/>
      </w:rPr>
    </w:lvl>
    <w:lvl w:ilvl="5" w:tplc="04090005" w:tentative="1">
      <w:start w:val="1"/>
      <w:numFmt w:val="bullet"/>
      <w:lvlText w:val=""/>
      <w:lvlJc w:val="left"/>
      <w:pPr>
        <w:ind w:left="4455" w:hanging="360"/>
      </w:pPr>
      <w:rPr>
        <w:rFonts w:hint="default" w:ascii="Wingdings" w:hAnsi="Wingdings"/>
      </w:rPr>
    </w:lvl>
    <w:lvl w:ilvl="6" w:tplc="04090001" w:tentative="1">
      <w:start w:val="1"/>
      <w:numFmt w:val="bullet"/>
      <w:lvlText w:val=""/>
      <w:lvlJc w:val="left"/>
      <w:pPr>
        <w:ind w:left="5175" w:hanging="360"/>
      </w:pPr>
      <w:rPr>
        <w:rFonts w:hint="default" w:ascii="Symbol" w:hAnsi="Symbol"/>
      </w:rPr>
    </w:lvl>
    <w:lvl w:ilvl="7" w:tplc="04090003" w:tentative="1">
      <w:start w:val="1"/>
      <w:numFmt w:val="bullet"/>
      <w:lvlText w:val="o"/>
      <w:lvlJc w:val="left"/>
      <w:pPr>
        <w:ind w:left="5895" w:hanging="360"/>
      </w:pPr>
      <w:rPr>
        <w:rFonts w:hint="default" w:ascii="Courier New" w:hAnsi="Courier New" w:cs="Courier New"/>
      </w:rPr>
    </w:lvl>
    <w:lvl w:ilvl="8" w:tplc="04090005" w:tentative="1">
      <w:start w:val="1"/>
      <w:numFmt w:val="bullet"/>
      <w:lvlText w:val=""/>
      <w:lvlJc w:val="left"/>
      <w:pPr>
        <w:ind w:left="6615" w:hanging="360"/>
      </w:pPr>
      <w:rPr>
        <w:rFonts w:hint="default" w:ascii="Wingdings" w:hAnsi="Wingdings"/>
      </w:rPr>
    </w:lvl>
  </w:abstractNum>
  <w:abstractNum w:abstractNumId="25" w15:restartNumberingAfterBreak="0">
    <w:nsid w:val="398C6565"/>
    <w:multiLevelType w:val="hybridMultilevel"/>
    <w:tmpl w:val="44A00FA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AD2D23"/>
    <w:multiLevelType w:val="hybridMultilevel"/>
    <w:tmpl w:val="C7906B90"/>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7" w15:restartNumberingAfterBreak="0">
    <w:nsid w:val="424E6526"/>
    <w:multiLevelType w:val="hybridMultilevel"/>
    <w:tmpl w:val="286C06BE"/>
    <w:lvl w:ilvl="0" w:tplc="079A0B8E">
      <w:start w:val="1"/>
      <w:numFmt w:val="upperLetter"/>
      <w:lvlText w:val="%1."/>
      <w:lvlJc w:val="left"/>
      <w:pPr>
        <w:ind w:left="1440" w:hanging="360"/>
      </w:pPr>
      <w:rPr>
        <w:color w:val="auto"/>
      </w:rPr>
    </w:lvl>
    <w:lvl w:ilvl="1" w:tplc="04090001">
      <w:start w:val="1"/>
      <w:numFmt w:val="bullet"/>
      <w:lvlText w:val=""/>
      <w:lvlJc w:val="left"/>
      <w:pPr>
        <w:ind w:left="2160" w:hanging="360"/>
      </w:pPr>
      <w:rPr>
        <w:rFonts w:hint="default" w:ascii="Symbol" w:hAnsi="Symbol"/>
      </w:rPr>
    </w:lvl>
    <w:lvl w:ilvl="2" w:tplc="04090001">
      <w:start w:val="1"/>
      <w:numFmt w:val="bullet"/>
      <w:lvlText w:val=""/>
      <w:lvlJc w:val="left"/>
      <w:pPr>
        <w:ind w:left="2880" w:hanging="180"/>
      </w:pPr>
      <w:rPr>
        <w:rFonts w:hint="default" w:ascii="Symbol" w:hAnsi="Symbol"/>
      </w:rPr>
    </w:lvl>
    <w:lvl w:ilvl="3" w:tplc="FBCC6936">
      <w:start w:val="5"/>
      <w:numFmt w:val="bullet"/>
      <w:lvlText w:val="-"/>
      <w:lvlJc w:val="left"/>
      <w:pPr>
        <w:ind w:left="3600" w:hanging="360"/>
      </w:pPr>
      <w:rPr>
        <w:rFonts w:hint="default" w:ascii="Calibri" w:hAnsi="Calibri" w:cs="Calibri" w:eastAsiaTheme="minorHAnsi"/>
        <w:b w:val="0"/>
        <w:color w:val="auto"/>
        <w:sz w:val="22"/>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1E41C5"/>
    <w:multiLevelType w:val="hybridMultilevel"/>
    <w:tmpl w:val="D5EA16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9" w15:restartNumberingAfterBreak="0">
    <w:nsid w:val="471546A6"/>
    <w:multiLevelType w:val="hybridMultilevel"/>
    <w:tmpl w:val="24EE08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48C61C1C"/>
    <w:multiLevelType w:val="hybridMultilevel"/>
    <w:tmpl w:val="4B7428B0"/>
    <w:lvl w:ilvl="0" w:tplc="FFFFFFFF">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0409000F">
      <w:start w:val="1"/>
      <w:numFmt w:val="decimal"/>
      <w:lvlText w:val="%6."/>
      <w:lvlJc w:val="left"/>
      <w:pPr>
        <w:ind w:left="4320" w:hanging="360"/>
      </w:pPr>
      <w:rPr>
        <w:rFonts w:hint="default"/>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49E17006"/>
    <w:multiLevelType w:val="hybridMultilevel"/>
    <w:tmpl w:val="99B89310"/>
    <w:lvl w:ilvl="0" w:tplc="AA1ECAA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B912DE2"/>
    <w:multiLevelType w:val="hybridMultilevel"/>
    <w:tmpl w:val="C5C482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4DCC3E4B"/>
    <w:multiLevelType w:val="hybridMultilevel"/>
    <w:tmpl w:val="E9F06056"/>
    <w:lvl w:ilvl="0" w:tplc="AA1ECAA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E985154"/>
    <w:multiLevelType w:val="hybridMultilevel"/>
    <w:tmpl w:val="56020E58"/>
    <w:lvl w:ilvl="0" w:tplc="16F2B7C2">
      <w:start w:val="1"/>
      <w:numFmt w:val="upperLetter"/>
      <w:lvlText w:val="%1."/>
      <w:lvlJc w:val="left"/>
      <w:pPr>
        <w:ind w:left="720" w:hanging="360"/>
      </w:pPr>
      <w:rPr>
        <w:rFonts w:ascii="Calibri" w:hAnsi="Calibri" w:cs="Calibri" w:eastAsiaTheme="minorHAnsi"/>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2E69B70">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F7031AE"/>
    <w:multiLevelType w:val="hybridMultilevel"/>
    <w:tmpl w:val="558EAE1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FA06C16"/>
    <w:multiLevelType w:val="hybridMultilevel"/>
    <w:tmpl w:val="A94EB934"/>
    <w:lvl w:ilvl="0" w:tplc="04090015">
      <w:start w:val="1"/>
      <w:numFmt w:val="upperLetter"/>
      <w:lvlText w:val="%1."/>
      <w:lvlJc w:val="left"/>
      <w:pPr>
        <w:ind w:left="1440" w:hanging="360"/>
      </w:pPr>
    </w:lvl>
    <w:lvl w:ilvl="1" w:tplc="04090001">
      <w:start w:val="1"/>
      <w:numFmt w:val="bullet"/>
      <w:lvlText w:val=""/>
      <w:lvlJc w:val="left"/>
      <w:pPr>
        <w:ind w:left="2160" w:hanging="360"/>
      </w:pPr>
      <w:rPr>
        <w:rFonts w:hint="default" w:ascii="Symbol" w:hAnsi="Symbo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A9337D"/>
    <w:multiLevelType w:val="hybridMultilevel"/>
    <w:tmpl w:val="F4F054F4"/>
    <w:lvl w:ilvl="0" w:tplc="16DA0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90508"/>
    <w:multiLevelType w:val="hybridMultilevel"/>
    <w:tmpl w:val="82F436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6C20D14"/>
    <w:multiLevelType w:val="hybridMultilevel"/>
    <w:tmpl w:val="BFBC368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75348F1"/>
    <w:multiLevelType w:val="hybridMultilevel"/>
    <w:tmpl w:val="E40AF220"/>
    <w:lvl w:ilvl="0" w:tplc="4B788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D21E6"/>
    <w:multiLevelType w:val="hybridMultilevel"/>
    <w:tmpl w:val="119A8F3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C590B1B"/>
    <w:multiLevelType w:val="hybridMultilevel"/>
    <w:tmpl w:val="57B2BC8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6B0B5EE0"/>
    <w:multiLevelType w:val="hybridMultilevel"/>
    <w:tmpl w:val="21E225A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4" w15:restartNumberingAfterBreak="0">
    <w:nsid w:val="6F3E6C79"/>
    <w:multiLevelType w:val="hybridMultilevel"/>
    <w:tmpl w:val="F1A4E836"/>
    <w:lvl w:ilvl="0" w:tplc="079A0B8E">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777F36"/>
    <w:multiLevelType w:val="hybridMultilevel"/>
    <w:tmpl w:val="6C4065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FA3781"/>
    <w:multiLevelType w:val="hybridMultilevel"/>
    <w:tmpl w:val="6C406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37CD5"/>
    <w:multiLevelType w:val="hybridMultilevel"/>
    <w:tmpl w:val="B300935C"/>
    <w:lvl w:ilvl="0" w:tplc="AFAA863A">
      <w:start w:val="1"/>
      <w:numFmt w:val="upperLetter"/>
      <w:lvlText w:val="%1."/>
      <w:lvlJc w:val="left"/>
      <w:pPr>
        <w:ind w:left="540" w:hanging="360"/>
      </w:pPr>
      <w:rPr>
        <w:rFonts w:ascii="Calibri" w:hAnsi="Calibri" w:cs="Calibri" w:eastAsiaTheme="minorHAnsi"/>
        <w:b w:val="0"/>
        <w:bCs w:val="0"/>
      </w:rPr>
    </w:lvl>
    <w:lvl w:ilvl="1" w:tplc="04090001">
      <w:start w:val="1"/>
      <w:numFmt w:val="bullet"/>
      <w:lvlText w:val=""/>
      <w:lvlJc w:val="left"/>
      <w:pPr>
        <w:ind w:left="1260" w:hanging="360"/>
      </w:pPr>
      <w:rPr>
        <w:rFonts w:hint="default" w:ascii="Symbol" w:hAnsi="Symbol"/>
      </w:rPr>
    </w:lvl>
    <w:lvl w:ilvl="2" w:tplc="04090005">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48" w15:restartNumberingAfterBreak="0">
    <w:nsid w:val="766E2FD1"/>
    <w:multiLevelType w:val="hybridMultilevel"/>
    <w:tmpl w:val="3B42BA98"/>
    <w:lvl w:ilvl="0" w:tplc="FFF86A68">
      <w:start w:val="1"/>
      <w:numFmt w:val="bullet"/>
      <w:lvlText w:val="·"/>
      <w:lvlJc w:val="left"/>
      <w:pPr>
        <w:ind w:left="720" w:hanging="360"/>
      </w:pPr>
      <w:rPr>
        <w:rFonts w:hint="default" w:ascii="Symbol" w:hAnsi="Symbol"/>
      </w:rPr>
    </w:lvl>
    <w:lvl w:ilvl="1" w:tplc="940ADC58">
      <w:start w:val="1"/>
      <w:numFmt w:val="bullet"/>
      <w:lvlText w:val="o"/>
      <w:lvlJc w:val="left"/>
      <w:pPr>
        <w:ind w:left="1440" w:hanging="360"/>
      </w:pPr>
      <w:rPr>
        <w:rFonts w:hint="default" w:ascii="Courier New" w:hAnsi="Courier New"/>
      </w:rPr>
    </w:lvl>
    <w:lvl w:ilvl="2" w:tplc="C1CEB53A">
      <w:start w:val="1"/>
      <w:numFmt w:val="bullet"/>
      <w:lvlText w:val=""/>
      <w:lvlJc w:val="left"/>
      <w:pPr>
        <w:ind w:left="2160" w:hanging="360"/>
      </w:pPr>
      <w:rPr>
        <w:rFonts w:hint="default" w:ascii="Wingdings" w:hAnsi="Wingdings"/>
      </w:rPr>
    </w:lvl>
    <w:lvl w:ilvl="3" w:tplc="DFC2D2AC">
      <w:start w:val="1"/>
      <w:numFmt w:val="bullet"/>
      <w:lvlText w:val=""/>
      <w:lvlJc w:val="left"/>
      <w:pPr>
        <w:ind w:left="2880" w:hanging="360"/>
      </w:pPr>
      <w:rPr>
        <w:rFonts w:hint="default" w:ascii="Symbol" w:hAnsi="Symbol"/>
      </w:rPr>
    </w:lvl>
    <w:lvl w:ilvl="4" w:tplc="B90CB44A">
      <w:start w:val="1"/>
      <w:numFmt w:val="bullet"/>
      <w:lvlText w:val="o"/>
      <w:lvlJc w:val="left"/>
      <w:pPr>
        <w:ind w:left="3600" w:hanging="360"/>
      </w:pPr>
      <w:rPr>
        <w:rFonts w:hint="default" w:ascii="Courier New" w:hAnsi="Courier New"/>
      </w:rPr>
    </w:lvl>
    <w:lvl w:ilvl="5" w:tplc="10AE2370">
      <w:start w:val="1"/>
      <w:numFmt w:val="bullet"/>
      <w:lvlText w:val=""/>
      <w:lvlJc w:val="left"/>
      <w:pPr>
        <w:ind w:left="4320" w:hanging="360"/>
      </w:pPr>
      <w:rPr>
        <w:rFonts w:hint="default" w:ascii="Wingdings" w:hAnsi="Wingdings"/>
      </w:rPr>
    </w:lvl>
    <w:lvl w:ilvl="6" w:tplc="D5E2DEC0">
      <w:start w:val="1"/>
      <w:numFmt w:val="bullet"/>
      <w:lvlText w:val=""/>
      <w:lvlJc w:val="left"/>
      <w:pPr>
        <w:ind w:left="5040" w:hanging="360"/>
      </w:pPr>
      <w:rPr>
        <w:rFonts w:hint="default" w:ascii="Symbol" w:hAnsi="Symbol"/>
      </w:rPr>
    </w:lvl>
    <w:lvl w:ilvl="7" w:tplc="0966D472">
      <w:start w:val="1"/>
      <w:numFmt w:val="bullet"/>
      <w:lvlText w:val="o"/>
      <w:lvlJc w:val="left"/>
      <w:pPr>
        <w:ind w:left="5760" w:hanging="360"/>
      </w:pPr>
      <w:rPr>
        <w:rFonts w:hint="default" w:ascii="Courier New" w:hAnsi="Courier New"/>
      </w:rPr>
    </w:lvl>
    <w:lvl w:ilvl="8" w:tplc="94EC9922">
      <w:start w:val="1"/>
      <w:numFmt w:val="bullet"/>
      <w:lvlText w:val=""/>
      <w:lvlJc w:val="left"/>
      <w:pPr>
        <w:ind w:left="6480" w:hanging="360"/>
      </w:pPr>
      <w:rPr>
        <w:rFonts w:hint="default" w:ascii="Wingdings" w:hAnsi="Wingdings"/>
      </w:rPr>
    </w:lvl>
  </w:abstractNum>
  <w:abstractNum w:abstractNumId="49" w15:restartNumberingAfterBreak="0">
    <w:nsid w:val="77B5331F"/>
    <w:multiLevelType w:val="hybridMultilevel"/>
    <w:tmpl w:val="10E4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8"/>
  </w:num>
  <w:num w:numId="3">
    <w:abstractNumId w:val="5"/>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3"/>
  </w:num>
  <w:num w:numId="8">
    <w:abstractNumId w:val="8"/>
  </w:num>
  <w:num w:numId="9">
    <w:abstractNumId w:val="44"/>
  </w:num>
  <w:num w:numId="10">
    <w:abstractNumId w:val="16"/>
  </w:num>
  <w:num w:numId="11">
    <w:abstractNumId w:val="36"/>
  </w:num>
  <w:num w:numId="12">
    <w:abstractNumId w:val="7"/>
  </w:num>
  <w:num w:numId="13">
    <w:abstractNumId w:val="11"/>
  </w:num>
  <w:num w:numId="14">
    <w:abstractNumId w:val="27"/>
  </w:num>
  <w:num w:numId="15">
    <w:abstractNumId w:val="41"/>
  </w:num>
  <w:num w:numId="16">
    <w:abstractNumId w:val="12"/>
  </w:num>
  <w:num w:numId="17">
    <w:abstractNumId w:val="47"/>
  </w:num>
  <w:num w:numId="18">
    <w:abstractNumId w:val="34"/>
  </w:num>
  <w:num w:numId="19">
    <w:abstractNumId w:val="28"/>
  </w:num>
  <w:num w:numId="20">
    <w:abstractNumId w:val="9"/>
  </w:num>
  <w:num w:numId="21">
    <w:abstractNumId w:val="14"/>
  </w:num>
  <w:num w:numId="22">
    <w:abstractNumId w:val="38"/>
  </w:num>
  <w:num w:numId="23">
    <w:abstractNumId w:val="37"/>
  </w:num>
  <w:num w:numId="24">
    <w:abstractNumId w:val="40"/>
  </w:num>
  <w:num w:numId="25">
    <w:abstractNumId w:val="17"/>
  </w:num>
  <w:num w:numId="26">
    <w:abstractNumId w:val="32"/>
  </w:num>
  <w:num w:numId="27">
    <w:abstractNumId w:val="42"/>
  </w:num>
  <w:num w:numId="28">
    <w:abstractNumId w:val="29"/>
  </w:num>
  <w:num w:numId="29">
    <w:abstractNumId w:val="23"/>
  </w:num>
  <w:num w:numId="30">
    <w:abstractNumId w:val="19"/>
  </w:num>
  <w:num w:numId="31">
    <w:abstractNumId w:val="10"/>
  </w:num>
  <w:num w:numId="32">
    <w:abstractNumId w:val="25"/>
  </w:num>
  <w:num w:numId="33">
    <w:abstractNumId w:val="39"/>
  </w:num>
  <w:num w:numId="34">
    <w:abstractNumId w:val="26"/>
  </w:num>
  <w:num w:numId="35">
    <w:abstractNumId w:val="35"/>
  </w:num>
  <w:num w:numId="36">
    <w:abstractNumId w:val="49"/>
  </w:num>
  <w:num w:numId="37">
    <w:abstractNumId w:val="46"/>
  </w:num>
  <w:num w:numId="38">
    <w:abstractNumId w:val="13"/>
  </w:num>
  <w:num w:numId="39">
    <w:abstractNumId w:val="45"/>
  </w:num>
  <w:num w:numId="40">
    <w:abstractNumId w:val="22"/>
  </w:num>
  <w:num w:numId="41">
    <w:abstractNumId w:val="24"/>
  </w:num>
  <w:num w:numId="42">
    <w:abstractNumId w:val="4"/>
  </w:num>
  <w:num w:numId="43">
    <w:abstractNumId w:val="3"/>
  </w:num>
  <w:num w:numId="44">
    <w:abstractNumId w:val="2"/>
  </w:num>
  <w:num w:numId="45">
    <w:abstractNumId w:val="1"/>
  </w:num>
  <w:num w:numId="46">
    <w:abstractNumId w:val="0"/>
  </w:num>
  <w:num w:numId="47">
    <w:abstractNumId w:val="20"/>
  </w:num>
  <w:num w:numId="48">
    <w:abstractNumId w:val="43"/>
  </w:num>
  <w:num w:numId="49">
    <w:abstractNumId w:val="31"/>
  </w:num>
  <w:num w:numId="50">
    <w:abstractNumId w:val="33"/>
  </w:num>
  <w:num w:numId="51">
    <w:abstractNumId w:val="15"/>
  </w:num>
  <w:num w:numId="52">
    <w:abstractNumId w:val="30"/>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3B"/>
    <w:rsid w:val="000073D9"/>
    <w:rsid w:val="000076B6"/>
    <w:rsid w:val="00007AD2"/>
    <w:rsid w:val="00020A4A"/>
    <w:rsid w:val="0002615D"/>
    <w:rsid w:val="00026DA2"/>
    <w:rsid w:val="000326AD"/>
    <w:rsid w:val="000338AB"/>
    <w:rsid w:val="00035A9E"/>
    <w:rsid w:val="00036C02"/>
    <w:rsid w:val="00041F3E"/>
    <w:rsid w:val="00042488"/>
    <w:rsid w:val="00043C12"/>
    <w:rsid w:val="000450FB"/>
    <w:rsid w:val="000479A3"/>
    <w:rsid w:val="00052E82"/>
    <w:rsid w:val="00055F55"/>
    <w:rsid w:val="00057287"/>
    <w:rsid w:val="00061A40"/>
    <w:rsid w:val="00066C9C"/>
    <w:rsid w:val="000727FF"/>
    <w:rsid w:val="00072831"/>
    <w:rsid w:val="00072A1C"/>
    <w:rsid w:val="00072AA8"/>
    <w:rsid w:val="00073734"/>
    <w:rsid w:val="00074674"/>
    <w:rsid w:val="00075A62"/>
    <w:rsid w:val="00081B36"/>
    <w:rsid w:val="000824F2"/>
    <w:rsid w:val="00083D79"/>
    <w:rsid w:val="00090988"/>
    <w:rsid w:val="00091CF1"/>
    <w:rsid w:val="00092473"/>
    <w:rsid w:val="0009263C"/>
    <w:rsid w:val="000960E8"/>
    <w:rsid w:val="000A6522"/>
    <w:rsid w:val="000A718B"/>
    <w:rsid w:val="000B1B64"/>
    <w:rsid w:val="000B1F2F"/>
    <w:rsid w:val="000B2488"/>
    <w:rsid w:val="000D4C97"/>
    <w:rsid w:val="000D56A6"/>
    <w:rsid w:val="000D58FB"/>
    <w:rsid w:val="000D6ABA"/>
    <w:rsid w:val="000D6E71"/>
    <w:rsid w:val="000D7CB1"/>
    <w:rsid w:val="000E31A2"/>
    <w:rsid w:val="000F173D"/>
    <w:rsid w:val="000F198F"/>
    <w:rsid w:val="000F34BD"/>
    <w:rsid w:val="000F459A"/>
    <w:rsid w:val="000F7737"/>
    <w:rsid w:val="0010118D"/>
    <w:rsid w:val="00101DFE"/>
    <w:rsid w:val="00105DAF"/>
    <w:rsid w:val="00113F01"/>
    <w:rsid w:val="00116CED"/>
    <w:rsid w:val="00121034"/>
    <w:rsid w:val="00121165"/>
    <w:rsid w:val="0012292A"/>
    <w:rsid w:val="0012334C"/>
    <w:rsid w:val="001301ED"/>
    <w:rsid w:val="00132864"/>
    <w:rsid w:val="00132CF8"/>
    <w:rsid w:val="0013719F"/>
    <w:rsid w:val="001406B2"/>
    <w:rsid w:val="00144184"/>
    <w:rsid w:val="00147BFE"/>
    <w:rsid w:val="00154E4D"/>
    <w:rsid w:val="001561F8"/>
    <w:rsid w:val="00156E00"/>
    <w:rsid w:val="001610B7"/>
    <w:rsid w:val="001615B2"/>
    <w:rsid w:val="00164F01"/>
    <w:rsid w:val="0016680C"/>
    <w:rsid w:val="00172C8C"/>
    <w:rsid w:val="001776EF"/>
    <w:rsid w:val="0018415D"/>
    <w:rsid w:val="00192D84"/>
    <w:rsid w:val="00194BCE"/>
    <w:rsid w:val="00194F4B"/>
    <w:rsid w:val="001972DE"/>
    <w:rsid w:val="001A1EDE"/>
    <w:rsid w:val="001A29F3"/>
    <w:rsid w:val="001A4B0F"/>
    <w:rsid w:val="001A5EE9"/>
    <w:rsid w:val="001A651C"/>
    <w:rsid w:val="001B0EE3"/>
    <w:rsid w:val="001B411E"/>
    <w:rsid w:val="001C4CAA"/>
    <w:rsid w:val="001C528D"/>
    <w:rsid w:val="001C7DF6"/>
    <w:rsid w:val="001D0657"/>
    <w:rsid w:val="001D12E5"/>
    <w:rsid w:val="001D1D64"/>
    <w:rsid w:val="001D314B"/>
    <w:rsid w:val="001D73F9"/>
    <w:rsid w:val="001D79F3"/>
    <w:rsid w:val="001E63B7"/>
    <w:rsid w:val="001E6504"/>
    <w:rsid w:val="001E6FF7"/>
    <w:rsid w:val="001F346B"/>
    <w:rsid w:val="001F628A"/>
    <w:rsid w:val="001F7072"/>
    <w:rsid w:val="0020194D"/>
    <w:rsid w:val="00202829"/>
    <w:rsid w:val="00202D48"/>
    <w:rsid w:val="00204C6B"/>
    <w:rsid w:val="00206300"/>
    <w:rsid w:val="002142C8"/>
    <w:rsid w:val="00215160"/>
    <w:rsid w:val="00216EA6"/>
    <w:rsid w:val="00217BF2"/>
    <w:rsid w:val="0022275A"/>
    <w:rsid w:val="00223281"/>
    <w:rsid w:val="00230EFA"/>
    <w:rsid w:val="002340D2"/>
    <w:rsid w:val="00234608"/>
    <w:rsid w:val="00234945"/>
    <w:rsid w:val="00240678"/>
    <w:rsid w:val="002413C6"/>
    <w:rsid w:val="00241911"/>
    <w:rsid w:val="00243392"/>
    <w:rsid w:val="00243BA8"/>
    <w:rsid w:val="00244FD3"/>
    <w:rsid w:val="002507E0"/>
    <w:rsid w:val="002524E8"/>
    <w:rsid w:val="0025473C"/>
    <w:rsid w:val="002619E9"/>
    <w:rsid w:val="00262F7A"/>
    <w:rsid w:val="00267ECA"/>
    <w:rsid w:val="00277730"/>
    <w:rsid w:val="00281430"/>
    <w:rsid w:val="0028167B"/>
    <w:rsid w:val="00281911"/>
    <w:rsid w:val="002862CA"/>
    <w:rsid w:val="00291DE9"/>
    <w:rsid w:val="0029379D"/>
    <w:rsid w:val="00295718"/>
    <w:rsid w:val="002A2389"/>
    <w:rsid w:val="002A5DA5"/>
    <w:rsid w:val="002A6899"/>
    <w:rsid w:val="002B1638"/>
    <w:rsid w:val="002B241E"/>
    <w:rsid w:val="002B374F"/>
    <w:rsid w:val="002B39E0"/>
    <w:rsid w:val="002B4C87"/>
    <w:rsid w:val="002C1BB5"/>
    <w:rsid w:val="002C2474"/>
    <w:rsid w:val="002C380E"/>
    <w:rsid w:val="002C5DFA"/>
    <w:rsid w:val="002C70A0"/>
    <w:rsid w:val="002D007B"/>
    <w:rsid w:val="002D4624"/>
    <w:rsid w:val="002D4E53"/>
    <w:rsid w:val="002D6545"/>
    <w:rsid w:val="002E2AA9"/>
    <w:rsid w:val="002E3EE8"/>
    <w:rsid w:val="002F029A"/>
    <w:rsid w:val="002F6F53"/>
    <w:rsid w:val="002F72FE"/>
    <w:rsid w:val="00300C72"/>
    <w:rsid w:val="00303159"/>
    <w:rsid w:val="003035E1"/>
    <w:rsid w:val="0030618F"/>
    <w:rsid w:val="003148BC"/>
    <w:rsid w:val="00315B9E"/>
    <w:rsid w:val="0031647C"/>
    <w:rsid w:val="00322EAE"/>
    <w:rsid w:val="003250BD"/>
    <w:rsid w:val="00330EA1"/>
    <w:rsid w:val="003319AF"/>
    <w:rsid w:val="003327C7"/>
    <w:rsid w:val="0034012B"/>
    <w:rsid w:val="0034545E"/>
    <w:rsid w:val="00346571"/>
    <w:rsid w:val="003532A5"/>
    <w:rsid w:val="00353DAA"/>
    <w:rsid w:val="00357548"/>
    <w:rsid w:val="0036171A"/>
    <w:rsid w:val="00363223"/>
    <w:rsid w:val="00370695"/>
    <w:rsid w:val="003730E1"/>
    <w:rsid w:val="00374B73"/>
    <w:rsid w:val="00376A42"/>
    <w:rsid w:val="00381408"/>
    <w:rsid w:val="0038249F"/>
    <w:rsid w:val="00382F0E"/>
    <w:rsid w:val="00383EE4"/>
    <w:rsid w:val="00390551"/>
    <w:rsid w:val="00390CB0"/>
    <w:rsid w:val="00391CE4"/>
    <w:rsid w:val="00392445"/>
    <w:rsid w:val="003A1B89"/>
    <w:rsid w:val="003A1CBC"/>
    <w:rsid w:val="003A3D7B"/>
    <w:rsid w:val="003A4266"/>
    <w:rsid w:val="003A4F33"/>
    <w:rsid w:val="003B149E"/>
    <w:rsid w:val="003B1AA0"/>
    <w:rsid w:val="003B3A00"/>
    <w:rsid w:val="003C279B"/>
    <w:rsid w:val="003C487A"/>
    <w:rsid w:val="003C5BF8"/>
    <w:rsid w:val="003C6172"/>
    <w:rsid w:val="003C6CA2"/>
    <w:rsid w:val="003C74A7"/>
    <w:rsid w:val="003C7D27"/>
    <w:rsid w:val="003D0342"/>
    <w:rsid w:val="003D0F23"/>
    <w:rsid w:val="003D2042"/>
    <w:rsid w:val="003D2A9B"/>
    <w:rsid w:val="003D3F03"/>
    <w:rsid w:val="003D595B"/>
    <w:rsid w:val="003D669A"/>
    <w:rsid w:val="003D7475"/>
    <w:rsid w:val="003E0C2F"/>
    <w:rsid w:val="003E3037"/>
    <w:rsid w:val="003E5A5A"/>
    <w:rsid w:val="003E6018"/>
    <w:rsid w:val="003E733A"/>
    <w:rsid w:val="003F3652"/>
    <w:rsid w:val="003F77C5"/>
    <w:rsid w:val="004007FF"/>
    <w:rsid w:val="00402209"/>
    <w:rsid w:val="004068BE"/>
    <w:rsid w:val="004072A0"/>
    <w:rsid w:val="004076F2"/>
    <w:rsid w:val="0041112A"/>
    <w:rsid w:val="00412BBC"/>
    <w:rsid w:val="004154A9"/>
    <w:rsid w:val="0042158C"/>
    <w:rsid w:val="00423F51"/>
    <w:rsid w:val="00424263"/>
    <w:rsid w:val="00425446"/>
    <w:rsid w:val="004307B4"/>
    <w:rsid w:val="00430B98"/>
    <w:rsid w:val="00434EA9"/>
    <w:rsid w:val="004427BF"/>
    <w:rsid w:val="004450CD"/>
    <w:rsid w:val="00446441"/>
    <w:rsid w:val="00452034"/>
    <w:rsid w:val="00453633"/>
    <w:rsid w:val="00454C2D"/>
    <w:rsid w:val="00460EC1"/>
    <w:rsid w:val="004612E5"/>
    <w:rsid w:val="00466319"/>
    <w:rsid w:val="00472781"/>
    <w:rsid w:val="00474C67"/>
    <w:rsid w:val="0048091F"/>
    <w:rsid w:val="004821D1"/>
    <w:rsid w:val="004844B3"/>
    <w:rsid w:val="00491776"/>
    <w:rsid w:val="00491C08"/>
    <w:rsid w:val="00495AA1"/>
    <w:rsid w:val="00497224"/>
    <w:rsid w:val="00497524"/>
    <w:rsid w:val="004A29D5"/>
    <w:rsid w:val="004A2AA2"/>
    <w:rsid w:val="004A3DC2"/>
    <w:rsid w:val="004B1E41"/>
    <w:rsid w:val="004B3FD4"/>
    <w:rsid w:val="004B6ADE"/>
    <w:rsid w:val="004B6E4E"/>
    <w:rsid w:val="004B71C5"/>
    <w:rsid w:val="004C0D35"/>
    <w:rsid w:val="004C0D75"/>
    <w:rsid w:val="004C4053"/>
    <w:rsid w:val="004C5E76"/>
    <w:rsid w:val="004C7885"/>
    <w:rsid w:val="004D05C7"/>
    <w:rsid w:val="004D38AF"/>
    <w:rsid w:val="004D4FF4"/>
    <w:rsid w:val="004E068C"/>
    <w:rsid w:val="004E2EEC"/>
    <w:rsid w:val="004E4C9F"/>
    <w:rsid w:val="004F129F"/>
    <w:rsid w:val="004F24E8"/>
    <w:rsid w:val="004F251B"/>
    <w:rsid w:val="004F2CE2"/>
    <w:rsid w:val="004F2FBB"/>
    <w:rsid w:val="004F41B9"/>
    <w:rsid w:val="004F6AB5"/>
    <w:rsid w:val="00501D44"/>
    <w:rsid w:val="00510D2B"/>
    <w:rsid w:val="00511895"/>
    <w:rsid w:val="005126E0"/>
    <w:rsid w:val="00515E8A"/>
    <w:rsid w:val="00523EBC"/>
    <w:rsid w:val="00524FF2"/>
    <w:rsid w:val="00531871"/>
    <w:rsid w:val="00532655"/>
    <w:rsid w:val="00532D6D"/>
    <w:rsid w:val="005332F4"/>
    <w:rsid w:val="005347A6"/>
    <w:rsid w:val="00534BF4"/>
    <w:rsid w:val="00537543"/>
    <w:rsid w:val="00541E57"/>
    <w:rsid w:val="00546FB4"/>
    <w:rsid w:val="005507B6"/>
    <w:rsid w:val="00550BB1"/>
    <w:rsid w:val="005547FF"/>
    <w:rsid w:val="00556CF4"/>
    <w:rsid w:val="00557749"/>
    <w:rsid w:val="00560364"/>
    <w:rsid w:val="00560E43"/>
    <w:rsid w:val="00561486"/>
    <w:rsid w:val="00563357"/>
    <w:rsid w:val="00563FE4"/>
    <w:rsid w:val="00566589"/>
    <w:rsid w:val="0057003C"/>
    <w:rsid w:val="00570070"/>
    <w:rsid w:val="0057197B"/>
    <w:rsid w:val="005724DE"/>
    <w:rsid w:val="0057309C"/>
    <w:rsid w:val="00573C68"/>
    <w:rsid w:val="00574167"/>
    <w:rsid w:val="00581C19"/>
    <w:rsid w:val="005830A7"/>
    <w:rsid w:val="0058360F"/>
    <w:rsid w:val="00586BDE"/>
    <w:rsid w:val="00587E52"/>
    <w:rsid w:val="0059323F"/>
    <w:rsid w:val="00593751"/>
    <w:rsid w:val="005943BB"/>
    <w:rsid w:val="00595312"/>
    <w:rsid w:val="005968C0"/>
    <w:rsid w:val="005A37A0"/>
    <w:rsid w:val="005A6D2E"/>
    <w:rsid w:val="005B5396"/>
    <w:rsid w:val="005B783E"/>
    <w:rsid w:val="005C16B1"/>
    <w:rsid w:val="005C3EF4"/>
    <w:rsid w:val="005C5FED"/>
    <w:rsid w:val="005C6B40"/>
    <w:rsid w:val="005C6CB0"/>
    <w:rsid w:val="005C70AB"/>
    <w:rsid w:val="005D0208"/>
    <w:rsid w:val="005D116A"/>
    <w:rsid w:val="005D2588"/>
    <w:rsid w:val="005D435C"/>
    <w:rsid w:val="005D6979"/>
    <w:rsid w:val="005E735A"/>
    <w:rsid w:val="005E75E5"/>
    <w:rsid w:val="005F7FC2"/>
    <w:rsid w:val="00600500"/>
    <w:rsid w:val="0060358A"/>
    <w:rsid w:val="0061250B"/>
    <w:rsid w:val="00612B09"/>
    <w:rsid w:val="00614374"/>
    <w:rsid w:val="00614606"/>
    <w:rsid w:val="0061462E"/>
    <w:rsid w:val="00615F18"/>
    <w:rsid w:val="0062045D"/>
    <w:rsid w:val="00620921"/>
    <w:rsid w:val="0062335D"/>
    <w:rsid w:val="0062365B"/>
    <w:rsid w:val="00630BB0"/>
    <w:rsid w:val="00631054"/>
    <w:rsid w:val="00631F18"/>
    <w:rsid w:val="006325CE"/>
    <w:rsid w:val="00641406"/>
    <w:rsid w:val="006540B3"/>
    <w:rsid w:val="0065523A"/>
    <w:rsid w:val="00655F91"/>
    <w:rsid w:val="00660475"/>
    <w:rsid w:val="00660F4D"/>
    <w:rsid w:val="00661618"/>
    <w:rsid w:val="00663D1B"/>
    <w:rsid w:val="00666238"/>
    <w:rsid w:val="00673CD1"/>
    <w:rsid w:val="00674E1D"/>
    <w:rsid w:val="0067656C"/>
    <w:rsid w:val="0067689E"/>
    <w:rsid w:val="006826FD"/>
    <w:rsid w:val="00682E54"/>
    <w:rsid w:val="00683456"/>
    <w:rsid w:val="00683C57"/>
    <w:rsid w:val="00685179"/>
    <w:rsid w:val="00686049"/>
    <w:rsid w:val="00687326"/>
    <w:rsid w:val="0069179A"/>
    <w:rsid w:val="00692487"/>
    <w:rsid w:val="00694672"/>
    <w:rsid w:val="00697BE5"/>
    <w:rsid w:val="006A4DE5"/>
    <w:rsid w:val="006A5144"/>
    <w:rsid w:val="006A65B8"/>
    <w:rsid w:val="006A695C"/>
    <w:rsid w:val="006C0741"/>
    <w:rsid w:val="006C15DB"/>
    <w:rsid w:val="006C3AEA"/>
    <w:rsid w:val="006C3B74"/>
    <w:rsid w:val="006C4C3C"/>
    <w:rsid w:val="006C5C45"/>
    <w:rsid w:val="006C69DD"/>
    <w:rsid w:val="006D1A34"/>
    <w:rsid w:val="006D4818"/>
    <w:rsid w:val="006D5771"/>
    <w:rsid w:val="006D6D27"/>
    <w:rsid w:val="006E4673"/>
    <w:rsid w:val="006E6882"/>
    <w:rsid w:val="006E79A6"/>
    <w:rsid w:val="006F0F57"/>
    <w:rsid w:val="006F14AB"/>
    <w:rsid w:val="006F2A24"/>
    <w:rsid w:val="006F38C8"/>
    <w:rsid w:val="006F5447"/>
    <w:rsid w:val="00707088"/>
    <w:rsid w:val="0070739A"/>
    <w:rsid w:val="0071192A"/>
    <w:rsid w:val="00713E2F"/>
    <w:rsid w:val="00714A4B"/>
    <w:rsid w:val="00716E39"/>
    <w:rsid w:val="007204AE"/>
    <w:rsid w:val="007222F8"/>
    <w:rsid w:val="00726360"/>
    <w:rsid w:val="00727906"/>
    <w:rsid w:val="0073112A"/>
    <w:rsid w:val="00732D81"/>
    <w:rsid w:val="0073645A"/>
    <w:rsid w:val="00740F83"/>
    <w:rsid w:val="007417B8"/>
    <w:rsid w:val="007432A9"/>
    <w:rsid w:val="00744B34"/>
    <w:rsid w:val="007452A3"/>
    <w:rsid w:val="007517EE"/>
    <w:rsid w:val="00752E86"/>
    <w:rsid w:val="00753D7B"/>
    <w:rsid w:val="00756331"/>
    <w:rsid w:val="0075798A"/>
    <w:rsid w:val="00762729"/>
    <w:rsid w:val="00762FAA"/>
    <w:rsid w:val="007639ED"/>
    <w:rsid w:val="00764A47"/>
    <w:rsid w:val="0076576B"/>
    <w:rsid w:val="007670C8"/>
    <w:rsid w:val="007671BE"/>
    <w:rsid w:val="00767FC7"/>
    <w:rsid w:val="00771059"/>
    <w:rsid w:val="00775A43"/>
    <w:rsid w:val="00776DDE"/>
    <w:rsid w:val="00780E89"/>
    <w:rsid w:val="0078256A"/>
    <w:rsid w:val="00782FD6"/>
    <w:rsid w:val="007852E8"/>
    <w:rsid w:val="00790008"/>
    <w:rsid w:val="00793485"/>
    <w:rsid w:val="00793993"/>
    <w:rsid w:val="00795F0E"/>
    <w:rsid w:val="007A1578"/>
    <w:rsid w:val="007A31C0"/>
    <w:rsid w:val="007A5AF6"/>
    <w:rsid w:val="007A6956"/>
    <w:rsid w:val="007A7AD4"/>
    <w:rsid w:val="007B1357"/>
    <w:rsid w:val="007B3B69"/>
    <w:rsid w:val="007B4E45"/>
    <w:rsid w:val="007B5740"/>
    <w:rsid w:val="007C037C"/>
    <w:rsid w:val="007C1281"/>
    <w:rsid w:val="007C379F"/>
    <w:rsid w:val="007C418F"/>
    <w:rsid w:val="007C46AF"/>
    <w:rsid w:val="007C793D"/>
    <w:rsid w:val="007D0558"/>
    <w:rsid w:val="007D26A4"/>
    <w:rsid w:val="007D276A"/>
    <w:rsid w:val="007D7963"/>
    <w:rsid w:val="007E205A"/>
    <w:rsid w:val="007E6F54"/>
    <w:rsid w:val="007E6F77"/>
    <w:rsid w:val="007E7FDA"/>
    <w:rsid w:val="007F4958"/>
    <w:rsid w:val="007F7007"/>
    <w:rsid w:val="007F7A79"/>
    <w:rsid w:val="007F7C8B"/>
    <w:rsid w:val="00800EF1"/>
    <w:rsid w:val="00805B4A"/>
    <w:rsid w:val="0080687E"/>
    <w:rsid w:val="00807045"/>
    <w:rsid w:val="0081002E"/>
    <w:rsid w:val="00811E2D"/>
    <w:rsid w:val="00812F6B"/>
    <w:rsid w:val="0081358C"/>
    <w:rsid w:val="00813780"/>
    <w:rsid w:val="00814607"/>
    <w:rsid w:val="0081593B"/>
    <w:rsid w:val="00815EB2"/>
    <w:rsid w:val="00820CBA"/>
    <w:rsid w:val="00823D8B"/>
    <w:rsid w:val="00825CC9"/>
    <w:rsid w:val="00827FC0"/>
    <w:rsid w:val="00832109"/>
    <w:rsid w:val="00832C29"/>
    <w:rsid w:val="0083452D"/>
    <w:rsid w:val="00840AEB"/>
    <w:rsid w:val="008431A7"/>
    <w:rsid w:val="00844156"/>
    <w:rsid w:val="008454CE"/>
    <w:rsid w:val="008462E0"/>
    <w:rsid w:val="008465A4"/>
    <w:rsid w:val="00846B01"/>
    <w:rsid w:val="0084778A"/>
    <w:rsid w:val="00855F2F"/>
    <w:rsid w:val="00861368"/>
    <w:rsid w:val="00862043"/>
    <w:rsid w:val="008625A5"/>
    <w:rsid w:val="0087036F"/>
    <w:rsid w:val="00870432"/>
    <w:rsid w:val="00875DB7"/>
    <w:rsid w:val="00876DA7"/>
    <w:rsid w:val="0087742A"/>
    <w:rsid w:val="0088161E"/>
    <w:rsid w:val="00882749"/>
    <w:rsid w:val="00887C6F"/>
    <w:rsid w:val="0089015E"/>
    <w:rsid w:val="0089201C"/>
    <w:rsid w:val="00892F97"/>
    <w:rsid w:val="008A1BCD"/>
    <w:rsid w:val="008A61ED"/>
    <w:rsid w:val="008A6BA1"/>
    <w:rsid w:val="008A73E6"/>
    <w:rsid w:val="008B2FBC"/>
    <w:rsid w:val="008B43CE"/>
    <w:rsid w:val="008B45FC"/>
    <w:rsid w:val="008B535F"/>
    <w:rsid w:val="008C0999"/>
    <w:rsid w:val="008C3B2E"/>
    <w:rsid w:val="008C5667"/>
    <w:rsid w:val="008D0413"/>
    <w:rsid w:val="008D0F94"/>
    <w:rsid w:val="008D22EA"/>
    <w:rsid w:val="008D518E"/>
    <w:rsid w:val="008D61F8"/>
    <w:rsid w:val="008D78BA"/>
    <w:rsid w:val="008E1413"/>
    <w:rsid w:val="008E3826"/>
    <w:rsid w:val="008E3833"/>
    <w:rsid w:val="008E5C44"/>
    <w:rsid w:val="008E7134"/>
    <w:rsid w:val="008E75A2"/>
    <w:rsid w:val="008F1917"/>
    <w:rsid w:val="008F2FD9"/>
    <w:rsid w:val="008F36F4"/>
    <w:rsid w:val="008F3CB2"/>
    <w:rsid w:val="008F58D3"/>
    <w:rsid w:val="008F6775"/>
    <w:rsid w:val="00903978"/>
    <w:rsid w:val="0090689D"/>
    <w:rsid w:val="00911AAF"/>
    <w:rsid w:val="00915387"/>
    <w:rsid w:val="00917FD6"/>
    <w:rsid w:val="009222D7"/>
    <w:rsid w:val="00924CDE"/>
    <w:rsid w:val="00925420"/>
    <w:rsid w:val="00930FD6"/>
    <w:rsid w:val="00931D13"/>
    <w:rsid w:val="0093456A"/>
    <w:rsid w:val="00937089"/>
    <w:rsid w:val="009410AD"/>
    <w:rsid w:val="009424CD"/>
    <w:rsid w:val="00942A52"/>
    <w:rsid w:val="009479E4"/>
    <w:rsid w:val="00947BD1"/>
    <w:rsid w:val="00951528"/>
    <w:rsid w:val="009540A7"/>
    <w:rsid w:val="009556F5"/>
    <w:rsid w:val="00957115"/>
    <w:rsid w:val="00960656"/>
    <w:rsid w:val="00964A91"/>
    <w:rsid w:val="009707B0"/>
    <w:rsid w:val="00971E75"/>
    <w:rsid w:val="009729A9"/>
    <w:rsid w:val="00973882"/>
    <w:rsid w:val="00976104"/>
    <w:rsid w:val="0097770F"/>
    <w:rsid w:val="00980BB0"/>
    <w:rsid w:val="00982FA7"/>
    <w:rsid w:val="0098633E"/>
    <w:rsid w:val="009917F6"/>
    <w:rsid w:val="00991A8B"/>
    <w:rsid w:val="00992994"/>
    <w:rsid w:val="00993BAD"/>
    <w:rsid w:val="009952FF"/>
    <w:rsid w:val="009A116B"/>
    <w:rsid w:val="009B109C"/>
    <w:rsid w:val="009B1C36"/>
    <w:rsid w:val="009B2C47"/>
    <w:rsid w:val="009C1361"/>
    <w:rsid w:val="009C2760"/>
    <w:rsid w:val="009C46C5"/>
    <w:rsid w:val="009D3124"/>
    <w:rsid w:val="009D32BB"/>
    <w:rsid w:val="009D56AE"/>
    <w:rsid w:val="009D69A3"/>
    <w:rsid w:val="009E2B79"/>
    <w:rsid w:val="009E4C32"/>
    <w:rsid w:val="009E51EB"/>
    <w:rsid w:val="009F0459"/>
    <w:rsid w:val="009F348F"/>
    <w:rsid w:val="009F4DE8"/>
    <w:rsid w:val="009F4E25"/>
    <w:rsid w:val="009F4EFE"/>
    <w:rsid w:val="00A014DA"/>
    <w:rsid w:val="00A045B1"/>
    <w:rsid w:val="00A1163C"/>
    <w:rsid w:val="00A129DA"/>
    <w:rsid w:val="00A13B56"/>
    <w:rsid w:val="00A17269"/>
    <w:rsid w:val="00A31F11"/>
    <w:rsid w:val="00A329CF"/>
    <w:rsid w:val="00A350A5"/>
    <w:rsid w:val="00A35C76"/>
    <w:rsid w:val="00A4164E"/>
    <w:rsid w:val="00A46928"/>
    <w:rsid w:val="00A5186F"/>
    <w:rsid w:val="00A54AAD"/>
    <w:rsid w:val="00A62006"/>
    <w:rsid w:val="00A6279D"/>
    <w:rsid w:val="00A6316B"/>
    <w:rsid w:val="00A63CE6"/>
    <w:rsid w:val="00A66AF7"/>
    <w:rsid w:val="00A6704E"/>
    <w:rsid w:val="00A70CEF"/>
    <w:rsid w:val="00A7152B"/>
    <w:rsid w:val="00A71D74"/>
    <w:rsid w:val="00A73BC0"/>
    <w:rsid w:val="00A748B1"/>
    <w:rsid w:val="00A75B3F"/>
    <w:rsid w:val="00A87B53"/>
    <w:rsid w:val="00A87E6A"/>
    <w:rsid w:val="00A95477"/>
    <w:rsid w:val="00AA2005"/>
    <w:rsid w:val="00AA3BFA"/>
    <w:rsid w:val="00AB161B"/>
    <w:rsid w:val="00AB3925"/>
    <w:rsid w:val="00AB7DEC"/>
    <w:rsid w:val="00AC2570"/>
    <w:rsid w:val="00AC6D71"/>
    <w:rsid w:val="00AD046B"/>
    <w:rsid w:val="00AD07C4"/>
    <w:rsid w:val="00AD27A7"/>
    <w:rsid w:val="00AD581C"/>
    <w:rsid w:val="00AD708F"/>
    <w:rsid w:val="00AE03A5"/>
    <w:rsid w:val="00AE0AA6"/>
    <w:rsid w:val="00AE0F29"/>
    <w:rsid w:val="00AE3A00"/>
    <w:rsid w:val="00AE623C"/>
    <w:rsid w:val="00AF5AF5"/>
    <w:rsid w:val="00AF5ED5"/>
    <w:rsid w:val="00AF680F"/>
    <w:rsid w:val="00AF6988"/>
    <w:rsid w:val="00B00150"/>
    <w:rsid w:val="00B01D7E"/>
    <w:rsid w:val="00B022EA"/>
    <w:rsid w:val="00B02ED2"/>
    <w:rsid w:val="00B04192"/>
    <w:rsid w:val="00B04D77"/>
    <w:rsid w:val="00B140F7"/>
    <w:rsid w:val="00B1470D"/>
    <w:rsid w:val="00B15C39"/>
    <w:rsid w:val="00B242E1"/>
    <w:rsid w:val="00B262B2"/>
    <w:rsid w:val="00B2765D"/>
    <w:rsid w:val="00B27F81"/>
    <w:rsid w:val="00B32DD1"/>
    <w:rsid w:val="00B33004"/>
    <w:rsid w:val="00B34BA1"/>
    <w:rsid w:val="00B37D94"/>
    <w:rsid w:val="00B41B44"/>
    <w:rsid w:val="00B441BC"/>
    <w:rsid w:val="00B44437"/>
    <w:rsid w:val="00B45C90"/>
    <w:rsid w:val="00B50FBF"/>
    <w:rsid w:val="00B51ADC"/>
    <w:rsid w:val="00B51FBE"/>
    <w:rsid w:val="00B55747"/>
    <w:rsid w:val="00B57B25"/>
    <w:rsid w:val="00B650A4"/>
    <w:rsid w:val="00B70D24"/>
    <w:rsid w:val="00B75F0A"/>
    <w:rsid w:val="00B85F46"/>
    <w:rsid w:val="00B86D18"/>
    <w:rsid w:val="00B9079D"/>
    <w:rsid w:val="00B96E33"/>
    <w:rsid w:val="00BA273B"/>
    <w:rsid w:val="00BA47E7"/>
    <w:rsid w:val="00BB0088"/>
    <w:rsid w:val="00BB2301"/>
    <w:rsid w:val="00BB2D38"/>
    <w:rsid w:val="00BB4361"/>
    <w:rsid w:val="00BB49EE"/>
    <w:rsid w:val="00BB4CFA"/>
    <w:rsid w:val="00BC0875"/>
    <w:rsid w:val="00BC30B3"/>
    <w:rsid w:val="00BC4C5B"/>
    <w:rsid w:val="00BC5282"/>
    <w:rsid w:val="00BC56DB"/>
    <w:rsid w:val="00BC583F"/>
    <w:rsid w:val="00BD0B08"/>
    <w:rsid w:val="00BD2EF1"/>
    <w:rsid w:val="00BD33C8"/>
    <w:rsid w:val="00BD7EA9"/>
    <w:rsid w:val="00BE2385"/>
    <w:rsid w:val="00BE3195"/>
    <w:rsid w:val="00BE35A2"/>
    <w:rsid w:val="00BE4C46"/>
    <w:rsid w:val="00BE5DC1"/>
    <w:rsid w:val="00BF08AD"/>
    <w:rsid w:val="00BF4D2B"/>
    <w:rsid w:val="00BF67FE"/>
    <w:rsid w:val="00C03849"/>
    <w:rsid w:val="00C03897"/>
    <w:rsid w:val="00C15A51"/>
    <w:rsid w:val="00C16CAE"/>
    <w:rsid w:val="00C17168"/>
    <w:rsid w:val="00C210AF"/>
    <w:rsid w:val="00C2154D"/>
    <w:rsid w:val="00C21591"/>
    <w:rsid w:val="00C27D5F"/>
    <w:rsid w:val="00C32E34"/>
    <w:rsid w:val="00C35814"/>
    <w:rsid w:val="00C4167D"/>
    <w:rsid w:val="00C41F98"/>
    <w:rsid w:val="00C435F1"/>
    <w:rsid w:val="00C43792"/>
    <w:rsid w:val="00C4459D"/>
    <w:rsid w:val="00C44C20"/>
    <w:rsid w:val="00C49A46"/>
    <w:rsid w:val="00C50B67"/>
    <w:rsid w:val="00C554CD"/>
    <w:rsid w:val="00C56787"/>
    <w:rsid w:val="00C5697A"/>
    <w:rsid w:val="00C60416"/>
    <w:rsid w:val="00C61B0F"/>
    <w:rsid w:val="00C74BE5"/>
    <w:rsid w:val="00C75B1C"/>
    <w:rsid w:val="00C77072"/>
    <w:rsid w:val="00C80450"/>
    <w:rsid w:val="00C80C2B"/>
    <w:rsid w:val="00C82EF8"/>
    <w:rsid w:val="00C8682F"/>
    <w:rsid w:val="00C8753A"/>
    <w:rsid w:val="00C93E0E"/>
    <w:rsid w:val="00C96903"/>
    <w:rsid w:val="00C9746E"/>
    <w:rsid w:val="00CA00DC"/>
    <w:rsid w:val="00CA1B6E"/>
    <w:rsid w:val="00CA4C7B"/>
    <w:rsid w:val="00CA6055"/>
    <w:rsid w:val="00CB0B67"/>
    <w:rsid w:val="00CB19BB"/>
    <w:rsid w:val="00CB5067"/>
    <w:rsid w:val="00CB5B2A"/>
    <w:rsid w:val="00CB6F3D"/>
    <w:rsid w:val="00CC3D8E"/>
    <w:rsid w:val="00CC40B7"/>
    <w:rsid w:val="00CC433A"/>
    <w:rsid w:val="00CD015C"/>
    <w:rsid w:val="00CD0FFB"/>
    <w:rsid w:val="00CD34D4"/>
    <w:rsid w:val="00CD3B28"/>
    <w:rsid w:val="00CD3FF1"/>
    <w:rsid w:val="00CE3093"/>
    <w:rsid w:val="00CE6107"/>
    <w:rsid w:val="00CE64E8"/>
    <w:rsid w:val="00CF1F9A"/>
    <w:rsid w:val="00D0448D"/>
    <w:rsid w:val="00D04C51"/>
    <w:rsid w:val="00D06565"/>
    <w:rsid w:val="00D117CD"/>
    <w:rsid w:val="00D11B18"/>
    <w:rsid w:val="00D125D8"/>
    <w:rsid w:val="00D12AFE"/>
    <w:rsid w:val="00D12C50"/>
    <w:rsid w:val="00D14270"/>
    <w:rsid w:val="00D20811"/>
    <w:rsid w:val="00D22AB2"/>
    <w:rsid w:val="00D24AA4"/>
    <w:rsid w:val="00D25F4B"/>
    <w:rsid w:val="00D27C3E"/>
    <w:rsid w:val="00D31A35"/>
    <w:rsid w:val="00D37FBB"/>
    <w:rsid w:val="00D420E6"/>
    <w:rsid w:val="00D436DA"/>
    <w:rsid w:val="00D4470C"/>
    <w:rsid w:val="00D44C0F"/>
    <w:rsid w:val="00D478FE"/>
    <w:rsid w:val="00D51333"/>
    <w:rsid w:val="00D53B08"/>
    <w:rsid w:val="00D60FDB"/>
    <w:rsid w:val="00D6243E"/>
    <w:rsid w:val="00D63ECB"/>
    <w:rsid w:val="00D659A8"/>
    <w:rsid w:val="00D675B7"/>
    <w:rsid w:val="00D706C2"/>
    <w:rsid w:val="00D709DC"/>
    <w:rsid w:val="00D77FC9"/>
    <w:rsid w:val="00D806EA"/>
    <w:rsid w:val="00D810AE"/>
    <w:rsid w:val="00D82529"/>
    <w:rsid w:val="00D85B55"/>
    <w:rsid w:val="00D916DD"/>
    <w:rsid w:val="00D9342E"/>
    <w:rsid w:val="00D949EE"/>
    <w:rsid w:val="00D949F0"/>
    <w:rsid w:val="00D954EA"/>
    <w:rsid w:val="00D95A99"/>
    <w:rsid w:val="00DA15E6"/>
    <w:rsid w:val="00DA23FC"/>
    <w:rsid w:val="00DA5F8C"/>
    <w:rsid w:val="00DA613D"/>
    <w:rsid w:val="00DA70F6"/>
    <w:rsid w:val="00DA7667"/>
    <w:rsid w:val="00DB1D4B"/>
    <w:rsid w:val="00DB276B"/>
    <w:rsid w:val="00DB3B0E"/>
    <w:rsid w:val="00DB5B7C"/>
    <w:rsid w:val="00DB7BB3"/>
    <w:rsid w:val="00DC1D12"/>
    <w:rsid w:val="00DC26A4"/>
    <w:rsid w:val="00DC76B3"/>
    <w:rsid w:val="00DD1EFC"/>
    <w:rsid w:val="00DD224C"/>
    <w:rsid w:val="00DD5748"/>
    <w:rsid w:val="00DE0E21"/>
    <w:rsid w:val="00DE7EAB"/>
    <w:rsid w:val="00DF1BFB"/>
    <w:rsid w:val="00DF5625"/>
    <w:rsid w:val="00E00ECC"/>
    <w:rsid w:val="00E0282B"/>
    <w:rsid w:val="00E03536"/>
    <w:rsid w:val="00E04E51"/>
    <w:rsid w:val="00E13413"/>
    <w:rsid w:val="00E136D2"/>
    <w:rsid w:val="00E1434B"/>
    <w:rsid w:val="00E15783"/>
    <w:rsid w:val="00E15AD8"/>
    <w:rsid w:val="00E15CCF"/>
    <w:rsid w:val="00E16FE9"/>
    <w:rsid w:val="00E1740F"/>
    <w:rsid w:val="00E20B6D"/>
    <w:rsid w:val="00E22F89"/>
    <w:rsid w:val="00E2425E"/>
    <w:rsid w:val="00E24CEA"/>
    <w:rsid w:val="00E342F2"/>
    <w:rsid w:val="00E35E22"/>
    <w:rsid w:val="00E37306"/>
    <w:rsid w:val="00E37695"/>
    <w:rsid w:val="00E44CCF"/>
    <w:rsid w:val="00E507CF"/>
    <w:rsid w:val="00E523C3"/>
    <w:rsid w:val="00E541FE"/>
    <w:rsid w:val="00E56099"/>
    <w:rsid w:val="00E57624"/>
    <w:rsid w:val="00E5786A"/>
    <w:rsid w:val="00E61EF2"/>
    <w:rsid w:val="00E62AE6"/>
    <w:rsid w:val="00E638F2"/>
    <w:rsid w:val="00E66E71"/>
    <w:rsid w:val="00E67858"/>
    <w:rsid w:val="00E73221"/>
    <w:rsid w:val="00E7722C"/>
    <w:rsid w:val="00E819A7"/>
    <w:rsid w:val="00E8298F"/>
    <w:rsid w:val="00E83256"/>
    <w:rsid w:val="00E83A0E"/>
    <w:rsid w:val="00E9001A"/>
    <w:rsid w:val="00E92D34"/>
    <w:rsid w:val="00E952F9"/>
    <w:rsid w:val="00E9684A"/>
    <w:rsid w:val="00E96FEF"/>
    <w:rsid w:val="00EA14D4"/>
    <w:rsid w:val="00EA196D"/>
    <w:rsid w:val="00EA1AAA"/>
    <w:rsid w:val="00EA21D5"/>
    <w:rsid w:val="00EA2C0E"/>
    <w:rsid w:val="00EA3C70"/>
    <w:rsid w:val="00EA4715"/>
    <w:rsid w:val="00EA7104"/>
    <w:rsid w:val="00EA74E0"/>
    <w:rsid w:val="00EA75A5"/>
    <w:rsid w:val="00EB4AC1"/>
    <w:rsid w:val="00EB504E"/>
    <w:rsid w:val="00EB5D7A"/>
    <w:rsid w:val="00EC1776"/>
    <w:rsid w:val="00EC3011"/>
    <w:rsid w:val="00EC492F"/>
    <w:rsid w:val="00EC4A1C"/>
    <w:rsid w:val="00EC547D"/>
    <w:rsid w:val="00EC5CEC"/>
    <w:rsid w:val="00ED251D"/>
    <w:rsid w:val="00ED4A8D"/>
    <w:rsid w:val="00EE068E"/>
    <w:rsid w:val="00EE0844"/>
    <w:rsid w:val="00EE235A"/>
    <w:rsid w:val="00EE321C"/>
    <w:rsid w:val="00EE7428"/>
    <w:rsid w:val="00EF13AC"/>
    <w:rsid w:val="00EF2268"/>
    <w:rsid w:val="00EF5CF6"/>
    <w:rsid w:val="00EF72CA"/>
    <w:rsid w:val="00F01C43"/>
    <w:rsid w:val="00F0733A"/>
    <w:rsid w:val="00F10310"/>
    <w:rsid w:val="00F10882"/>
    <w:rsid w:val="00F10D97"/>
    <w:rsid w:val="00F11AA3"/>
    <w:rsid w:val="00F122C3"/>
    <w:rsid w:val="00F12B3D"/>
    <w:rsid w:val="00F149F0"/>
    <w:rsid w:val="00F16F4D"/>
    <w:rsid w:val="00F21FB2"/>
    <w:rsid w:val="00F24036"/>
    <w:rsid w:val="00F265BC"/>
    <w:rsid w:val="00F2773C"/>
    <w:rsid w:val="00F32E6B"/>
    <w:rsid w:val="00F36BB3"/>
    <w:rsid w:val="00F4076B"/>
    <w:rsid w:val="00F40D26"/>
    <w:rsid w:val="00F4103A"/>
    <w:rsid w:val="00F42F6C"/>
    <w:rsid w:val="00F44981"/>
    <w:rsid w:val="00F52620"/>
    <w:rsid w:val="00F52EB9"/>
    <w:rsid w:val="00F545EF"/>
    <w:rsid w:val="00F55B4F"/>
    <w:rsid w:val="00F60FBC"/>
    <w:rsid w:val="00F6254E"/>
    <w:rsid w:val="00F74DC8"/>
    <w:rsid w:val="00F75F03"/>
    <w:rsid w:val="00F7744C"/>
    <w:rsid w:val="00F837D4"/>
    <w:rsid w:val="00F853F9"/>
    <w:rsid w:val="00F85424"/>
    <w:rsid w:val="00F867EA"/>
    <w:rsid w:val="00F924BF"/>
    <w:rsid w:val="00F93039"/>
    <w:rsid w:val="00F9347C"/>
    <w:rsid w:val="00F955BD"/>
    <w:rsid w:val="00F96080"/>
    <w:rsid w:val="00F97C80"/>
    <w:rsid w:val="00FA0C72"/>
    <w:rsid w:val="00FA13B2"/>
    <w:rsid w:val="00FA1904"/>
    <w:rsid w:val="00FA1D60"/>
    <w:rsid w:val="00FB0AF9"/>
    <w:rsid w:val="00FB0D6A"/>
    <w:rsid w:val="00FB225A"/>
    <w:rsid w:val="00FB49D3"/>
    <w:rsid w:val="00FB7080"/>
    <w:rsid w:val="00FB76E5"/>
    <w:rsid w:val="00FC04D2"/>
    <w:rsid w:val="00FC23C3"/>
    <w:rsid w:val="00FC43BC"/>
    <w:rsid w:val="00FD0B6F"/>
    <w:rsid w:val="00FD3988"/>
    <w:rsid w:val="00FD3AFB"/>
    <w:rsid w:val="00FD45E2"/>
    <w:rsid w:val="00FD5419"/>
    <w:rsid w:val="00FE3861"/>
    <w:rsid w:val="00FF006A"/>
    <w:rsid w:val="00FF4EDE"/>
    <w:rsid w:val="00FF6417"/>
    <w:rsid w:val="01244313"/>
    <w:rsid w:val="01A0E4DA"/>
    <w:rsid w:val="01C593FF"/>
    <w:rsid w:val="02D86A62"/>
    <w:rsid w:val="032458E3"/>
    <w:rsid w:val="032C4669"/>
    <w:rsid w:val="03909495"/>
    <w:rsid w:val="03DD756F"/>
    <w:rsid w:val="03E3CC55"/>
    <w:rsid w:val="0426C793"/>
    <w:rsid w:val="0469426F"/>
    <w:rsid w:val="04AFEA8C"/>
    <w:rsid w:val="04C02944"/>
    <w:rsid w:val="059AE1E1"/>
    <w:rsid w:val="0649209F"/>
    <w:rsid w:val="06730520"/>
    <w:rsid w:val="06EADFB1"/>
    <w:rsid w:val="06FAA4DC"/>
    <w:rsid w:val="0704B284"/>
    <w:rsid w:val="072FD95F"/>
    <w:rsid w:val="0752AE22"/>
    <w:rsid w:val="07E68AA0"/>
    <w:rsid w:val="07EC2972"/>
    <w:rsid w:val="081179F2"/>
    <w:rsid w:val="08359D5F"/>
    <w:rsid w:val="08A80263"/>
    <w:rsid w:val="093F00C6"/>
    <w:rsid w:val="09582E28"/>
    <w:rsid w:val="09689208"/>
    <w:rsid w:val="09DBE501"/>
    <w:rsid w:val="0A340119"/>
    <w:rsid w:val="0A47BC0F"/>
    <w:rsid w:val="0A4FA629"/>
    <w:rsid w:val="0A695F50"/>
    <w:rsid w:val="0AC77A62"/>
    <w:rsid w:val="0B05289C"/>
    <w:rsid w:val="0BC107C8"/>
    <w:rsid w:val="0BC833B0"/>
    <w:rsid w:val="0BE78047"/>
    <w:rsid w:val="0BF926E3"/>
    <w:rsid w:val="0C7729DA"/>
    <w:rsid w:val="0CCA4968"/>
    <w:rsid w:val="0CD62FCB"/>
    <w:rsid w:val="0D6309F8"/>
    <w:rsid w:val="0E68F3F2"/>
    <w:rsid w:val="0ED36924"/>
    <w:rsid w:val="0F7CE2EB"/>
    <w:rsid w:val="11196AE1"/>
    <w:rsid w:val="114473DF"/>
    <w:rsid w:val="1158C4D1"/>
    <w:rsid w:val="11FB0530"/>
    <w:rsid w:val="12100214"/>
    <w:rsid w:val="1418AEAB"/>
    <w:rsid w:val="1457BBE5"/>
    <w:rsid w:val="145C721A"/>
    <w:rsid w:val="14BF3E8E"/>
    <w:rsid w:val="14CB9364"/>
    <w:rsid w:val="159171E6"/>
    <w:rsid w:val="15B658D3"/>
    <w:rsid w:val="162D269F"/>
    <w:rsid w:val="163FCDB0"/>
    <w:rsid w:val="16FE19B6"/>
    <w:rsid w:val="17378EB5"/>
    <w:rsid w:val="17B7471D"/>
    <w:rsid w:val="182BC090"/>
    <w:rsid w:val="18C36A12"/>
    <w:rsid w:val="19411D3C"/>
    <w:rsid w:val="19874988"/>
    <w:rsid w:val="1A16E614"/>
    <w:rsid w:val="1A9BCC17"/>
    <w:rsid w:val="1B14DDFD"/>
    <w:rsid w:val="1B38DCAA"/>
    <w:rsid w:val="1BB0552E"/>
    <w:rsid w:val="1C26F82B"/>
    <w:rsid w:val="1C78532F"/>
    <w:rsid w:val="1CA1F068"/>
    <w:rsid w:val="1CD44AD0"/>
    <w:rsid w:val="1D2BDAF0"/>
    <w:rsid w:val="1D796359"/>
    <w:rsid w:val="1E9FF3C6"/>
    <w:rsid w:val="1EC75EC0"/>
    <w:rsid w:val="1ECFE843"/>
    <w:rsid w:val="1EE1375A"/>
    <w:rsid w:val="1F05E80B"/>
    <w:rsid w:val="1F353A76"/>
    <w:rsid w:val="1F5D77CF"/>
    <w:rsid w:val="2019F67B"/>
    <w:rsid w:val="202AAAC6"/>
    <w:rsid w:val="20BBE686"/>
    <w:rsid w:val="21075C59"/>
    <w:rsid w:val="21276C96"/>
    <w:rsid w:val="21520CE3"/>
    <w:rsid w:val="21F903BF"/>
    <w:rsid w:val="225C2839"/>
    <w:rsid w:val="227E8AA4"/>
    <w:rsid w:val="22FC5739"/>
    <w:rsid w:val="233B2198"/>
    <w:rsid w:val="23A188DA"/>
    <w:rsid w:val="2419B410"/>
    <w:rsid w:val="25820553"/>
    <w:rsid w:val="25CC6D13"/>
    <w:rsid w:val="25E4916F"/>
    <w:rsid w:val="262F7A21"/>
    <w:rsid w:val="26E4895C"/>
    <w:rsid w:val="26EEB506"/>
    <w:rsid w:val="26EF4022"/>
    <w:rsid w:val="27168535"/>
    <w:rsid w:val="272B280A"/>
    <w:rsid w:val="27F91D32"/>
    <w:rsid w:val="28DFF528"/>
    <w:rsid w:val="28E584CE"/>
    <w:rsid w:val="297AE3DB"/>
    <w:rsid w:val="2993A5E1"/>
    <w:rsid w:val="2996B189"/>
    <w:rsid w:val="2A804A74"/>
    <w:rsid w:val="2AAED775"/>
    <w:rsid w:val="2B9F6F34"/>
    <w:rsid w:val="2BAB8E95"/>
    <w:rsid w:val="2BCBF45E"/>
    <w:rsid w:val="2BE54034"/>
    <w:rsid w:val="2C1777E0"/>
    <w:rsid w:val="2C896D92"/>
    <w:rsid w:val="2CCD2084"/>
    <w:rsid w:val="2D6C9E5C"/>
    <w:rsid w:val="2D824BB7"/>
    <w:rsid w:val="2DD5554F"/>
    <w:rsid w:val="2E4E6EF8"/>
    <w:rsid w:val="2E5616E4"/>
    <w:rsid w:val="2E5EBA57"/>
    <w:rsid w:val="2E6A564B"/>
    <w:rsid w:val="2F4AC04D"/>
    <w:rsid w:val="2F646661"/>
    <w:rsid w:val="2FF1E745"/>
    <w:rsid w:val="2FF9305D"/>
    <w:rsid w:val="3020A097"/>
    <w:rsid w:val="303695D3"/>
    <w:rsid w:val="307D627F"/>
    <w:rsid w:val="307ED1A3"/>
    <w:rsid w:val="30A43F1E"/>
    <w:rsid w:val="31016325"/>
    <w:rsid w:val="3106BCB0"/>
    <w:rsid w:val="3149F684"/>
    <w:rsid w:val="316F27BA"/>
    <w:rsid w:val="31A4E5AC"/>
    <w:rsid w:val="32E29EE2"/>
    <w:rsid w:val="3374F4F4"/>
    <w:rsid w:val="3444EF0E"/>
    <w:rsid w:val="3488AE76"/>
    <w:rsid w:val="34BF0A0C"/>
    <w:rsid w:val="34CD5B1E"/>
    <w:rsid w:val="34CD6851"/>
    <w:rsid w:val="34F5ABCD"/>
    <w:rsid w:val="35179186"/>
    <w:rsid w:val="35661C9E"/>
    <w:rsid w:val="35D07D50"/>
    <w:rsid w:val="362BB023"/>
    <w:rsid w:val="3647F5D4"/>
    <w:rsid w:val="36D81B70"/>
    <w:rsid w:val="36DA0E4E"/>
    <w:rsid w:val="370E4490"/>
    <w:rsid w:val="37922D1F"/>
    <w:rsid w:val="38280476"/>
    <w:rsid w:val="391DA09F"/>
    <w:rsid w:val="3A79A151"/>
    <w:rsid w:val="3AFF9AEF"/>
    <w:rsid w:val="3B32A1AE"/>
    <w:rsid w:val="3BB49DFA"/>
    <w:rsid w:val="3BCA659D"/>
    <w:rsid w:val="3C4929E5"/>
    <w:rsid w:val="3CE31466"/>
    <w:rsid w:val="3CE5FB42"/>
    <w:rsid w:val="3D91633A"/>
    <w:rsid w:val="3E5DC85F"/>
    <w:rsid w:val="3E77B2DC"/>
    <w:rsid w:val="3E7BC80F"/>
    <w:rsid w:val="3F4F979E"/>
    <w:rsid w:val="3FAFA709"/>
    <w:rsid w:val="40773AB3"/>
    <w:rsid w:val="4077E4D4"/>
    <w:rsid w:val="40CA8D60"/>
    <w:rsid w:val="40CDB7BB"/>
    <w:rsid w:val="417554EF"/>
    <w:rsid w:val="41B5C69B"/>
    <w:rsid w:val="41BA44AD"/>
    <w:rsid w:val="41C018ED"/>
    <w:rsid w:val="41FF4302"/>
    <w:rsid w:val="422FBF20"/>
    <w:rsid w:val="4272C3A4"/>
    <w:rsid w:val="429210D1"/>
    <w:rsid w:val="42C386CA"/>
    <w:rsid w:val="42C7F4C9"/>
    <w:rsid w:val="432E4160"/>
    <w:rsid w:val="435BE94E"/>
    <w:rsid w:val="4523D087"/>
    <w:rsid w:val="4602CC4C"/>
    <w:rsid w:val="461D6EA6"/>
    <w:rsid w:val="46873CCF"/>
    <w:rsid w:val="46A03504"/>
    <w:rsid w:val="472E518F"/>
    <w:rsid w:val="4788BAB4"/>
    <w:rsid w:val="478920A1"/>
    <w:rsid w:val="4818528B"/>
    <w:rsid w:val="48E20528"/>
    <w:rsid w:val="494C0439"/>
    <w:rsid w:val="4A0D86D1"/>
    <w:rsid w:val="4A63F6A2"/>
    <w:rsid w:val="4AC3AFD7"/>
    <w:rsid w:val="4ADC5881"/>
    <w:rsid w:val="4B360AF7"/>
    <w:rsid w:val="4BC2DBE4"/>
    <w:rsid w:val="4BD0319F"/>
    <w:rsid w:val="4C15BC9F"/>
    <w:rsid w:val="4CC5EA62"/>
    <w:rsid w:val="4D1C2B8F"/>
    <w:rsid w:val="4D85C867"/>
    <w:rsid w:val="4DABDAE9"/>
    <w:rsid w:val="4EBC76EB"/>
    <w:rsid w:val="4EF5055F"/>
    <w:rsid w:val="50672C6F"/>
    <w:rsid w:val="506CF50C"/>
    <w:rsid w:val="50BA0FC9"/>
    <w:rsid w:val="51169256"/>
    <w:rsid w:val="511B437F"/>
    <w:rsid w:val="522C131F"/>
    <w:rsid w:val="52527313"/>
    <w:rsid w:val="53F6EC9D"/>
    <w:rsid w:val="540058E5"/>
    <w:rsid w:val="550EBF04"/>
    <w:rsid w:val="558984E9"/>
    <w:rsid w:val="55C5E58A"/>
    <w:rsid w:val="56CC0078"/>
    <w:rsid w:val="572E11DA"/>
    <w:rsid w:val="575D54B0"/>
    <w:rsid w:val="5761BC97"/>
    <w:rsid w:val="57FD10EC"/>
    <w:rsid w:val="5852618E"/>
    <w:rsid w:val="58CF5B37"/>
    <w:rsid w:val="58F43414"/>
    <w:rsid w:val="594A119A"/>
    <w:rsid w:val="59B4199C"/>
    <w:rsid w:val="59E93C22"/>
    <w:rsid w:val="5A2D0421"/>
    <w:rsid w:val="5A98CE79"/>
    <w:rsid w:val="5AB0653F"/>
    <w:rsid w:val="5B2BA221"/>
    <w:rsid w:val="5B927D21"/>
    <w:rsid w:val="5BA5E9E6"/>
    <w:rsid w:val="5BEE66C6"/>
    <w:rsid w:val="5C181F7F"/>
    <w:rsid w:val="5C352DBA"/>
    <w:rsid w:val="5D12D4A8"/>
    <w:rsid w:val="5D21C860"/>
    <w:rsid w:val="5E698B00"/>
    <w:rsid w:val="5ED0124A"/>
    <w:rsid w:val="5EEEBF9B"/>
    <w:rsid w:val="5EFEAE55"/>
    <w:rsid w:val="5F180CC8"/>
    <w:rsid w:val="5F8E20CD"/>
    <w:rsid w:val="603E1BC1"/>
    <w:rsid w:val="60B2F438"/>
    <w:rsid w:val="60EE50F1"/>
    <w:rsid w:val="611EDD75"/>
    <w:rsid w:val="61448AB1"/>
    <w:rsid w:val="614C41A2"/>
    <w:rsid w:val="619A6AA0"/>
    <w:rsid w:val="62028AF5"/>
    <w:rsid w:val="621228FD"/>
    <w:rsid w:val="62816A7E"/>
    <w:rsid w:val="6347EEDC"/>
    <w:rsid w:val="634B6B9D"/>
    <w:rsid w:val="64B5E912"/>
    <w:rsid w:val="64FF967D"/>
    <w:rsid w:val="6501BB39"/>
    <w:rsid w:val="6563B803"/>
    <w:rsid w:val="65A982D8"/>
    <w:rsid w:val="65BE7FBC"/>
    <w:rsid w:val="663DB6E3"/>
    <w:rsid w:val="6724E724"/>
    <w:rsid w:val="6736599C"/>
    <w:rsid w:val="6772A6E2"/>
    <w:rsid w:val="677FCDE7"/>
    <w:rsid w:val="67964BEB"/>
    <w:rsid w:val="680A4B11"/>
    <w:rsid w:val="686A2886"/>
    <w:rsid w:val="688642A2"/>
    <w:rsid w:val="6A1DB24D"/>
    <w:rsid w:val="6A216C81"/>
    <w:rsid w:val="6A28C606"/>
    <w:rsid w:val="6AB76EA9"/>
    <w:rsid w:val="6C201B25"/>
    <w:rsid w:val="6C3094B0"/>
    <w:rsid w:val="6C6E6F06"/>
    <w:rsid w:val="6C7009D2"/>
    <w:rsid w:val="6CE427EC"/>
    <w:rsid w:val="6CF57C56"/>
    <w:rsid w:val="6DFB7324"/>
    <w:rsid w:val="6E1DFAFC"/>
    <w:rsid w:val="6E3E58DA"/>
    <w:rsid w:val="6E868939"/>
    <w:rsid w:val="6EFBE0E9"/>
    <w:rsid w:val="6F5A82E4"/>
    <w:rsid w:val="6F8ADFCC"/>
    <w:rsid w:val="6FAD36A2"/>
    <w:rsid w:val="6FB30C3E"/>
    <w:rsid w:val="6FC51324"/>
    <w:rsid w:val="6FD07BEC"/>
    <w:rsid w:val="7024DFA2"/>
    <w:rsid w:val="702FC60C"/>
    <w:rsid w:val="70B27C9D"/>
    <w:rsid w:val="714367C6"/>
    <w:rsid w:val="71C5B280"/>
    <w:rsid w:val="71EF80DA"/>
    <w:rsid w:val="7270ECE7"/>
    <w:rsid w:val="7279AD90"/>
    <w:rsid w:val="7389FA2D"/>
    <w:rsid w:val="740CBD48"/>
    <w:rsid w:val="747A58DF"/>
    <w:rsid w:val="74B58F49"/>
    <w:rsid w:val="754C0413"/>
    <w:rsid w:val="7566994B"/>
    <w:rsid w:val="758EE349"/>
    <w:rsid w:val="75BB6F3D"/>
    <w:rsid w:val="7623D532"/>
    <w:rsid w:val="76298AAE"/>
    <w:rsid w:val="76ACD338"/>
    <w:rsid w:val="76E985F9"/>
    <w:rsid w:val="772AB3AA"/>
    <w:rsid w:val="77A683FF"/>
    <w:rsid w:val="7858696A"/>
    <w:rsid w:val="78D0042D"/>
    <w:rsid w:val="78EE0961"/>
    <w:rsid w:val="790F280D"/>
    <w:rsid w:val="793F2F60"/>
    <w:rsid w:val="7942232B"/>
    <w:rsid w:val="7A2237EC"/>
    <w:rsid w:val="7A7F9C30"/>
    <w:rsid w:val="7AEE99F7"/>
    <w:rsid w:val="7BDBF378"/>
    <w:rsid w:val="7C132970"/>
    <w:rsid w:val="7CABAE18"/>
    <w:rsid w:val="7CCF01D8"/>
    <w:rsid w:val="7E000AEC"/>
    <w:rsid w:val="7E4FA5BA"/>
    <w:rsid w:val="7E550E73"/>
    <w:rsid w:val="7F6A4AF5"/>
    <w:rsid w:val="7FE85AD1"/>
    <w:rsid w:val="7FEE2F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F6E2"/>
  <w15:docId w15:val="{291750A6-B42D-406E-B238-91C37BA622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273B"/>
  </w:style>
  <w:style w:type="paragraph" w:styleId="Heading1">
    <w:name w:val="heading 1"/>
    <w:basedOn w:val="Normal"/>
    <w:next w:val="Normal"/>
    <w:link w:val="Heading1Char"/>
    <w:uiPriority w:val="1"/>
    <w:qFormat/>
    <w:rsid w:val="004D05C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0450"/>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045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nseReference">
    <w:name w:val="Intense Reference"/>
    <w:basedOn w:val="DefaultParagraphFont"/>
    <w:uiPriority w:val="32"/>
    <w:qFormat/>
    <w:rsid w:val="00BA273B"/>
    <w:rPr>
      <w:b/>
      <w:bCs/>
      <w:smallCaps/>
      <w:color w:val="C0504D" w:themeColor="accent2"/>
      <w:spacing w:val="5"/>
      <w:u w:val="single"/>
    </w:rPr>
  </w:style>
  <w:style w:type="paragraph" w:styleId="Default" w:customStyle="1">
    <w:name w:val="Default"/>
    <w:rsid w:val="00202829"/>
    <w:pPr>
      <w:autoSpaceDE w:val="0"/>
      <w:autoSpaceDN w:val="0"/>
      <w:adjustRightInd w:val="0"/>
      <w:spacing w:after="0" w:line="240" w:lineRule="auto"/>
    </w:pPr>
    <w:rPr>
      <w:rFonts w:ascii="Calibri" w:hAnsi="Calibri" w:cs="Calibri"/>
      <w:color w:val="000000"/>
      <w:sz w:val="24"/>
      <w:szCs w:val="24"/>
    </w:rPr>
  </w:style>
  <w:style w:type="paragraph" w:styleId="TableHeadingWhite" w:customStyle="1">
    <w:name w:val="Table Heading White"/>
    <w:basedOn w:val="Normal"/>
    <w:next w:val="Normal"/>
    <w:rsid w:val="0081358C"/>
    <w:pPr>
      <w:spacing w:after="0" w:line="240" w:lineRule="auto"/>
    </w:pPr>
    <w:rPr>
      <w:rFonts w:ascii="Tahoma" w:hAnsi="Tahoma" w:eastAsia="Times New Roman" w:cs="Times New Roman"/>
      <w:b/>
      <w:color w:val="FFFFFF"/>
      <w:sz w:val="18"/>
      <w:szCs w:val="24"/>
    </w:rPr>
  </w:style>
  <w:style w:type="character" w:styleId="Hyperlink">
    <w:name w:val="Hyperlink"/>
    <w:basedOn w:val="DefaultParagraphFont"/>
    <w:uiPriority w:val="99"/>
    <w:unhideWhenUsed/>
    <w:rsid w:val="00C56787"/>
    <w:rPr>
      <w:color w:val="0000FF" w:themeColor="hyperlink"/>
      <w:u w:val="single"/>
    </w:rPr>
  </w:style>
  <w:style w:type="character" w:styleId="FollowedHyperlink">
    <w:name w:val="FollowedHyperlink"/>
    <w:basedOn w:val="DefaultParagraphFont"/>
    <w:uiPriority w:val="99"/>
    <w:semiHidden/>
    <w:unhideWhenUsed/>
    <w:rsid w:val="009E51EB"/>
    <w:rPr>
      <w:color w:val="800080" w:themeColor="followedHyperlink"/>
      <w:u w:val="single"/>
    </w:rPr>
  </w:style>
  <w:style w:type="paragraph" w:styleId="ListParagraph">
    <w:name w:val="List Paragraph"/>
    <w:basedOn w:val="Normal"/>
    <w:uiPriority w:val="34"/>
    <w:qFormat/>
    <w:rsid w:val="00D709DC"/>
    <w:pPr>
      <w:ind w:left="720"/>
      <w:contextualSpacing/>
    </w:pPr>
  </w:style>
  <w:style w:type="table" w:styleId="TableGrid">
    <w:name w:val="Table Grid"/>
    <w:basedOn w:val="TableNormal"/>
    <w:uiPriority w:val="39"/>
    <w:rsid w:val="00D436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
    <w:name w:val="Light Grid"/>
    <w:basedOn w:val="TableNormal"/>
    <w:uiPriority w:val="62"/>
    <w:rsid w:val="00D436DA"/>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BalloonText">
    <w:name w:val="Balloon Text"/>
    <w:basedOn w:val="Normal"/>
    <w:link w:val="BalloonTextChar"/>
    <w:uiPriority w:val="99"/>
    <w:semiHidden/>
    <w:unhideWhenUsed/>
    <w:rsid w:val="00E952F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52F9"/>
    <w:rPr>
      <w:rFonts w:ascii="Tahoma" w:hAnsi="Tahoma" w:cs="Tahoma"/>
      <w:sz w:val="16"/>
      <w:szCs w:val="16"/>
    </w:rPr>
  </w:style>
  <w:style w:type="paragraph" w:styleId="NoSpacing">
    <w:name w:val="No Spacing"/>
    <w:uiPriority w:val="1"/>
    <w:qFormat/>
    <w:rsid w:val="00E952F9"/>
    <w:pPr>
      <w:spacing w:after="0" w:line="240" w:lineRule="auto"/>
    </w:pPr>
    <w:rPr>
      <w:rFonts w:eastAsiaTheme="minorEastAsia"/>
    </w:rPr>
  </w:style>
  <w:style w:type="paragraph" w:styleId="Header">
    <w:name w:val="header"/>
    <w:basedOn w:val="Normal"/>
    <w:link w:val="HeaderChar"/>
    <w:uiPriority w:val="99"/>
    <w:unhideWhenUsed/>
    <w:rsid w:val="00E952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52F9"/>
  </w:style>
  <w:style w:type="paragraph" w:styleId="Footer">
    <w:name w:val="footer"/>
    <w:basedOn w:val="Normal"/>
    <w:link w:val="FooterChar"/>
    <w:uiPriority w:val="99"/>
    <w:unhideWhenUsed/>
    <w:rsid w:val="00E952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52F9"/>
  </w:style>
  <w:style w:type="character" w:styleId="Heading1Char" w:customStyle="1">
    <w:name w:val="Heading 1 Char"/>
    <w:basedOn w:val="DefaultParagraphFont"/>
    <w:link w:val="Heading1"/>
    <w:uiPriority w:val="1"/>
    <w:rsid w:val="004D05C7"/>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unhideWhenUsed/>
    <w:qFormat/>
    <w:rsid w:val="004D05C7"/>
    <w:pPr>
      <w:outlineLvl w:val="9"/>
    </w:pPr>
    <w:rPr>
      <w:lang w:eastAsia="ja-JP"/>
    </w:rPr>
  </w:style>
  <w:style w:type="paragraph" w:styleId="TOC2">
    <w:name w:val="toc 2"/>
    <w:basedOn w:val="Normal"/>
    <w:next w:val="Normal"/>
    <w:autoRedefine/>
    <w:uiPriority w:val="39"/>
    <w:unhideWhenUsed/>
    <w:qFormat/>
    <w:rsid w:val="004D05C7"/>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D05C7"/>
    <w:pPr>
      <w:spacing w:after="100"/>
    </w:pPr>
    <w:rPr>
      <w:rFonts w:eastAsiaTheme="minorEastAsia"/>
      <w:lang w:eastAsia="ja-JP"/>
    </w:rPr>
  </w:style>
  <w:style w:type="paragraph" w:styleId="TOC3">
    <w:name w:val="toc 3"/>
    <w:basedOn w:val="Normal"/>
    <w:next w:val="Normal"/>
    <w:autoRedefine/>
    <w:uiPriority w:val="39"/>
    <w:semiHidden/>
    <w:unhideWhenUsed/>
    <w:qFormat/>
    <w:rsid w:val="004D05C7"/>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F40D26"/>
    <w:rPr>
      <w:sz w:val="16"/>
      <w:szCs w:val="16"/>
    </w:rPr>
  </w:style>
  <w:style w:type="paragraph" w:styleId="CommentText">
    <w:name w:val="annotation text"/>
    <w:basedOn w:val="Normal"/>
    <w:link w:val="CommentTextChar"/>
    <w:uiPriority w:val="99"/>
    <w:unhideWhenUsed/>
    <w:rsid w:val="00F40D26"/>
    <w:pPr>
      <w:spacing w:after="0" w:line="240" w:lineRule="auto"/>
    </w:pPr>
    <w:rPr>
      <w:rFonts w:ascii="Calibri" w:hAnsi="Calibri" w:cs="Times New Roman"/>
      <w:sz w:val="20"/>
      <w:szCs w:val="20"/>
    </w:rPr>
  </w:style>
  <w:style w:type="character" w:styleId="CommentTextChar" w:customStyle="1">
    <w:name w:val="Comment Text Char"/>
    <w:basedOn w:val="DefaultParagraphFont"/>
    <w:link w:val="CommentText"/>
    <w:uiPriority w:val="99"/>
    <w:rsid w:val="00F40D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D26"/>
    <w:pPr>
      <w:spacing w:after="200"/>
    </w:pPr>
    <w:rPr>
      <w:rFonts w:asciiTheme="minorHAnsi" w:hAnsiTheme="minorHAnsi" w:cstheme="minorBidi"/>
      <w:b/>
      <w:bCs/>
    </w:rPr>
  </w:style>
  <w:style w:type="character" w:styleId="CommentSubjectChar" w:customStyle="1">
    <w:name w:val="Comment Subject Char"/>
    <w:basedOn w:val="CommentTextChar"/>
    <w:link w:val="CommentSubject"/>
    <w:uiPriority w:val="99"/>
    <w:semiHidden/>
    <w:rsid w:val="00F40D26"/>
    <w:rPr>
      <w:rFonts w:ascii="Calibri" w:hAnsi="Calibri" w:cs="Times New Roman"/>
      <w:b/>
      <w:bCs/>
      <w:sz w:val="20"/>
      <w:szCs w:val="20"/>
    </w:rPr>
  </w:style>
  <w:style w:type="character" w:styleId="UnresolvedMention">
    <w:name w:val="Unresolved Mention"/>
    <w:basedOn w:val="DefaultParagraphFont"/>
    <w:uiPriority w:val="99"/>
    <w:semiHidden/>
    <w:unhideWhenUsed/>
    <w:rsid w:val="00F40D26"/>
    <w:rPr>
      <w:color w:val="605E5C"/>
      <w:shd w:val="clear" w:color="auto" w:fill="E1DFDD"/>
    </w:rPr>
  </w:style>
  <w:style w:type="table" w:styleId="GridTable4-Accent5">
    <w:name w:val="Grid Table 4 Accent 5"/>
    <w:basedOn w:val="TableNormal"/>
    <w:uiPriority w:val="49"/>
    <w:rsid w:val="001972DE"/>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A014DA"/>
    <w:pPr>
      <w:spacing w:after="0" w:line="240" w:lineRule="auto"/>
    </w:pPr>
  </w:style>
  <w:style w:type="character" w:styleId="normaltextrun" w:customStyle="1">
    <w:name w:val="normaltextrun"/>
    <w:basedOn w:val="DefaultParagraphFont"/>
    <w:rsid w:val="003D7475"/>
  </w:style>
  <w:style w:type="character" w:styleId="eop" w:customStyle="1">
    <w:name w:val="eop"/>
    <w:basedOn w:val="DefaultParagraphFont"/>
    <w:rsid w:val="003D7475"/>
  </w:style>
  <w:style w:type="paragraph" w:styleId="NormalWeb">
    <w:name w:val="Normal (Web)"/>
    <w:basedOn w:val="Normal"/>
    <w:uiPriority w:val="99"/>
    <w:semiHidden/>
    <w:unhideWhenUsed/>
    <w:rsid w:val="00C74BE5"/>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C74BE5"/>
    <w:rPr>
      <w:rFonts w:hint="default" w:ascii="Segoe UI" w:hAnsi="Segoe UI" w:cs="Segoe UI"/>
      <w:sz w:val="18"/>
      <w:szCs w:val="18"/>
    </w:rPr>
  </w:style>
  <w:style w:type="paragraph" w:styleId="BodyText">
    <w:name w:val="Body Text"/>
    <w:basedOn w:val="Normal"/>
    <w:link w:val="BodyTextChar"/>
    <w:uiPriority w:val="1"/>
    <w:qFormat/>
    <w:rsid w:val="00D53B08"/>
    <w:pPr>
      <w:autoSpaceDE w:val="0"/>
      <w:autoSpaceDN w:val="0"/>
      <w:adjustRightInd w:val="0"/>
      <w:spacing w:before="117" w:after="0" w:line="240" w:lineRule="auto"/>
      <w:ind w:left="100"/>
    </w:pPr>
    <w:rPr>
      <w:rFonts w:ascii="Calibri" w:hAnsi="Calibri" w:cs="Calibri"/>
    </w:rPr>
  </w:style>
  <w:style w:type="character" w:styleId="BodyTextChar" w:customStyle="1">
    <w:name w:val="Body Text Char"/>
    <w:basedOn w:val="DefaultParagraphFont"/>
    <w:link w:val="BodyText"/>
    <w:uiPriority w:val="1"/>
    <w:rsid w:val="00D53B08"/>
    <w:rPr>
      <w:rFonts w:ascii="Calibri" w:hAnsi="Calibri" w:cs="Calibri"/>
    </w:rPr>
  </w:style>
  <w:style w:type="paragraph" w:styleId="TableParagraph" w:customStyle="1">
    <w:name w:val="Table Paragraph"/>
    <w:basedOn w:val="Normal"/>
    <w:uiPriority w:val="1"/>
    <w:qFormat/>
    <w:rsid w:val="00D53B08"/>
    <w:pPr>
      <w:autoSpaceDE w:val="0"/>
      <w:autoSpaceDN w:val="0"/>
      <w:adjustRightInd w:val="0"/>
      <w:spacing w:after="0" w:line="240" w:lineRule="auto"/>
    </w:pPr>
    <w:rPr>
      <w:rFonts w:ascii="Times New Roman" w:hAnsi="Times New Roman" w:cs="Times New Roman"/>
      <w:sz w:val="24"/>
      <w:szCs w:val="24"/>
    </w:rPr>
  </w:style>
  <w:style w:type="numbering" w:styleId="NoList1" w:customStyle="1">
    <w:name w:val="No List1"/>
    <w:next w:val="NoList"/>
    <w:uiPriority w:val="99"/>
    <w:semiHidden/>
    <w:unhideWhenUsed/>
    <w:rsid w:val="00F93039"/>
  </w:style>
  <w:style w:type="paragraph" w:styleId="paragraph" w:customStyle="1">
    <w:name w:val="paragraph"/>
    <w:basedOn w:val="Normal"/>
    <w:rsid w:val="0090689D"/>
    <w:pPr>
      <w:spacing w:before="100" w:beforeAutospacing="1" w:after="100" w:afterAutospacing="1" w:line="240" w:lineRule="auto"/>
    </w:pPr>
    <w:rPr>
      <w:rFonts w:ascii="Times New Roman" w:hAnsi="Times New Roman" w:eastAsia="Times New Roman" w:cs="Times New Roman"/>
      <w:sz w:val="24"/>
      <w:szCs w:val="24"/>
    </w:rPr>
  </w:style>
  <w:style w:type="character" w:styleId="tabchar" w:customStyle="1">
    <w:name w:val="tabchar"/>
    <w:basedOn w:val="DefaultParagraphFont"/>
    <w:rsid w:val="0090689D"/>
  </w:style>
  <w:style w:type="paragraph" w:styleId="pf0" w:customStyle="1">
    <w:name w:val="pf0"/>
    <w:basedOn w:val="Normal"/>
    <w:rsid w:val="00566589"/>
    <w:pPr>
      <w:spacing w:before="100" w:beforeAutospacing="1" w:after="100" w:afterAutospacing="1" w:line="240" w:lineRule="auto"/>
    </w:pPr>
    <w:rPr>
      <w:rFonts w:ascii="Times New Roman" w:hAnsi="Times New Roman" w:eastAsia="Times New Roman" w:cs="Times New Roman"/>
      <w:sz w:val="24"/>
      <w:szCs w:val="24"/>
    </w:rPr>
  </w:style>
  <w:style w:type="character" w:styleId="cf11" w:customStyle="1">
    <w:name w:val="cf11"/>
    <w:basedOn w:val="DefaultParagraphFont"/>
    <w:rsid w:val="00566589"/>
    <w:rPr>
      <w:rFonts w:hint="default" w:ascii="Segoe UI" w:hAnsi="Segoe UI" w:cs="Segoe UI"/>
      <w:sz w:val="18"/>
      <w:szCs w:val="18"/>
    </w:rPr>
  </w:style>
  <w:style w:type="character" w:styleId="Heading2Char" w:customStyle="1">
    <w:name w:val="Heading 2 Char"/>
    <w:basedOn w:val="DefaultParagraphFont"/>
    <w:link w:val="Heading2"/>
    <w:uiPriority w:val="9"/>
    <w:rsid w:val="00C80450"/>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C80450"/>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379">
      <w:bodyDiv w:val="1"/>
      <w:marLeft w:val="0"/>
      <w:marRight w:val="0"/>
      <w:marTop w:val="0"/>
      <w:marBottom w:val="0"/>
      <w:divBdr>
        <w:top w:val="none" w:sz="0" w:space="0" w:color="auto"/>
        <w:left w:val="none" w:sz="0" w:space="0" w:color="auto"/>
        <w:bottom w:val="none" w:sz="0" w:space="0" w:color="auto"/>
        <w:right w:val="none" w:sz="0" w:space="0" w:color="auto"/>
      </w:divBdr>
    </w:div>
    <w:div w:id="745961240">
      <w:bodyDiv w:val="1"/>
      <w:marLeft w:val="0"/>
      <w:marRight w:val="0"/>
      <w:marTop w:val="0"/>
      <w:marBottom w:val="0"/>
      <w:divBdr>
        <w:top w:val="none" w:sz="0" w:space="0" w:color="auto"/>
        <w:left w:val="none" w:sz="0" w:space="0" w:color="auto"/>
        <w:bottom w:val="none" w:sz="0" w:space="0" w:color="auto"/>
        <w:right w:val="none" w:sz="0" w:space="0" w:color="auto"/>
      </w:divBdr>
    </w:div>
    <w:div w:id="1038041782">
      <w:bodyDiv w:val="1"/>
      <w:marLeft w:val="0"/>
      <w:marRight w:val="0"/>
      <w:marTop w:val="0"/>
      <w:marBottom w:val="0"/>
      <w:divBdr>
        <w:top w:val="none" w:sz="0" w:space="0" w:color="auto"/>
        <w:left w:val="none" w:sz="0" w:space="0" w:color="auto"/>
        <w:bottom w:val="none" w:sz="0" w:space="0" w:color="auto"/>
        <w:right w:val="none" w:sz="0" w:space="0" w:color="auto"/>
      </w:divBdr>
    </w:div>
    <w:div w:id="1218516375">
      <w:bodyDiv w:val="1"/>
      <w:marLeft w:val="0"/>
      <w:marRight w:val="0"/>
      <w:marTop w:val="0"/>
      <w:marBottom w:val="0"/>
      <w:divBdr>
        <w:top w:val="none" w:sz="0" w:space="0" w:color="auto"/>
        <w:left w:val="none" w:sz="0" w:space="0" w:color="auto"/>
        <w:bottom w:val="none" w:sz="0" w:space="0" w:color="auto"/>
        <w:right w:val="none" w:sz="0" w:space="0" w:color="auto"/>
      </w:divBdr>
    </w:div>
    <w:div w:id="1443111927">
      <w:bodyDiv w:val="1"/>
      <w:marLeft w:val="0"/>
      <w:marRight w:val="0"/>
      <w:marTop w:val="0"/>
      <w:marBottom w:val="0"/>
      <w:divBdr>
        <w:top w:val="none" w:sz="0" w:space="0" w:color="auto"/>
        <w:left w:val="none" w:sz="0" w:space="0" w:color="auto"/>
        <w:bottom w:val="none" w:sz="0" w:space="0" w:color="auto"/>
        <w:right w:val="none" w:sz="0" w:space="0" w:color="auto"/>
      </w:divBdr>
    </w:div>
    <w:div w:id="1503231291">
      <w:bodyDiv w:val="1"/>
      <w:marLeft w:val="0"/>
      <w:marRight w:val="0"/>
      <w:marTop w:val="0"/>
      <w:marBottom w:val="0"/>
      <w:divBdr>
        <w:top w:val="none" w:sz="0" w:space="0" w:color="auto"/>
        <w:left w:val="none" w:sz="0" w:space="0" w:color="auto"/>
        <w:bottom w:val="none" w:sz="0" w:space="0" w:color="auto"/>
        <w:right w:val="none" w:sz="0" w:space="0" w:color="auto"/>
      </w:divBdr>
    </w:div>
    <w:div w:id="1625043452">
      <w:bodyDiv w:val="1"/>
      <w:marLeft w:val="0"/>
      <w:marRight w:val="0"/>
      <w:marTop w:val="0"/>
      <w:marBottom w:val="0"/>
      <w:divBdr>
        <w:top w:val="none" w:sz="0" w:space="0" w:color="auto"/>
        <w:left w:val="none" w:sz="0" w:space="0" w:color="auto"/>
        <w:bottom w:val="none" w:sz="0" w:space="0" w:color="auto"/>
        <w:right w:val="none" w:sz="0" w:space="0" w:color="auto"/>
      </w:divBdr>
    </w:div>
    <w:div w:id="1682580938">
      <w:bodyDiv w:val="1"/>
      <w:marLeft w:val="0"/>
      <w:marRight w:val="0"/>
      <w:marTop w:val="0"/>
      <w:marBottom w:val="0"/>
      <w:divBdr>
        <w:top w:val="none" w:sz="0" w:space="0" w:color="auto"/>
        <w:left w:val="none" w:sz="0" w:space="0" w:color="auto"/>
        <w:bottom w:val="none" w:sz="0" w:space="0" w:color="auto"/>
        <w:right w:val="none" w:sz="0" w:space="0" w:color="auto"/>
      </w:divBdr>
    </w:div>
    <w:div w:id="2071801947">
      <w:bodyDiv w:val="1"/>
      <w:marLeft w:val="0"/>
      <w:marRight w:val="0"/>
      <w:marTop w:val="0"/>
      <w:marBottom w:val="0"/>
      <w:divBdr>
        <w:top w:val="none" w:sz="0" w:space="0" w:color="auto"/>
        <w:left w:val="none" w:sz="0" w:space="0" w:color="auto"/>
        <w:bottom w:val="none" w:sz="0" w:space="0" w:color="auto"/>
        <w:right w:val="none" w:sz="0" w:space="0" w:color="auto"/>
      </w:divBdr>
    </w:div>
    <w:div w:id="21342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stho.org/spacecat/assessment-tool.pdf" TargetMode="External" Id="rId13" /><Relationship Type="http://schemas.openxmlformats.org/officeDocument/2006/relationships/hyperlink" Target="https://nacchohq.sharepoint.com/:x:/s/SHRC/EQJerzzBO_tKnh6GCogH92EBPD-WIbpvi37q4QJWRT3Giw?e=Wf94h3"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naccho.org/uploads/downloadable-resources/Certification-of-Non-Debarment.pdf" TargetMode="External" Id="rId21" /><Relationship Type="http://schemas.openxmlformats.org/officeDocument/2006/relationships/settings" Target="settings.xml" Id="rId7" /><Relationship Type="http://schemas.openxmlformats.org/officeDocument/2006/relationships/hyperlink" Target="https://my.astho.org/spacecat/home" TargetMode="External" Id="rId12" /><Relationship Type="http://schemas.openxmlformats.org/officeDocument/2006/relationships/hyperlink" Target="https://nacchohq.sharepoint.com/:x:/s/SHRC/EQJerzzBO_tKnh6GCogH92EBPD-WIbpvi37q4QJWRT3Giw?e=Wf94h3" TargetMode="External" Id="rId17" /><Relationship Type="http://schemas.openxmlformats.org/officeDocument/2006/relationships/customXml" Target="../customXml/item2.xml" Id="rId2" /><Relationship Type="http://schemas.openxmlformats.org/officeDocument/2006/relationships/hyperlink" Target="mailto:IVP@naccho.org" TargetMode="External" Id="rId16" /><Relationship Type="http://schemas.openxmlformats.org/officeDocument/2006/relationships/hyperlink" Target="https://www.naccho.org/uploads/downloadable-resources/Vendor-Form.pdf"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www.naccho.org/uploads/downloadable-resources/Certification-Regarding-Non-Applicability-Single-Audit-Requirement.E.pdf" TargetMode="External" Id="rId24" /><Relationship Type="http://schemas.openxmlformats.org/officeDocument/2006/relationships/numbering" Target="numbering.xml" Id="rId5" /><Relationship Type="http://schemas.openxmlformats.org/officeDocument/2006/relationships/hyperlink" Target="mailto:IVP@naccho.org" TargetMode="External" Id="rId15" /><Relationship Type="http://schemas.openxmlformats.org/officeDocument/2006/relationships/hyperlink" Target="https://www.naccho.org/uploads/downloadable-resources/Certification-Regarding-Lobbying.E.pdf"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naccho.org/uploads/downloadable-resources/Budget-narrative-template_blank.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VP@naccho.org" TargetMode="External" Id="rId14" /><Relationship Type="http://schemas.openxmlformats.org/officeDocument/2006/relationships/hyperlink" Target="https://www.naccho.org/uploads/downloadable-resources/W-9-Blank.pdf" TargetMode="External" Id="rId22" /><Relationship Type="http://schemas.openxmlformats.org/officeDocument/2006/relationships/fontTable" Target="fontTable.xml" Id="rId27" /><Relationship Type="http://schemas.openxmlformats.org/officeDocument/2006/relationships/hyperlink" Target="https://nacchoapplication.secure-platform.com/a/solicitations/17/home" TargetMode="External" Id="Raa8e8a137f8d48f3" /><Relationship Type="http://schemas.openxmlformats.org/officeDocument/2006/relationships/glossaryDocument" Target="glossary/document.xml" Id="R292d3ead853f48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bd65df-3896-4515-8f35-ed9988f35b47}"/>
      </w:docPartPr>
      <w:docPartBody>
        <w:p w14:paraId="1D2297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BE36E052FEF43B841903E4CB7377C" ma:contentTypeVersion="13" ma:contentTypeDescription="Create a new document." ma:contentTypeScope="" ma:versionID="9946cb99c0644ac3b3b7f1f4c97be04f">
  <xsd:schema xmlns:xsd="http://www.w3.org/2001/XMLSchema" xmlns:xs="http://www.w3.org/2001/XMLSchema" xmlns:p="http://schemas.microsoft.com/office/2006/metadata/properties" xmlns:ns2="96759fd9-ae76-458b-b034-ff79911311b3" xmlns:ns3="1db1a4da-f074-440c-a7da-18b75f198bc9" targetNamespace="http://schemas.microsoft.com/office/2006/metadata/properties" ma:root="true" ma:fieldsID="8b9d92db1781bf6cd3a9fca5e462eafb" ns2:_="" ns3:_="">
    <xsd:import namespace="96759fd9-ae76-458b-b034-ff79911311b3"/>
    <xsd:import namespace="1db1a4da-f074-440c-a7da-18b75f198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59fd9-ae76-458b-b034-ff799113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1a4da-f074-440c-a7da-18b75f198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97066-B79D-40C3-A0CD-1F67EE644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59fd9-ae76-458b-b034-ff79911311b3"/>
    <ds:schemaRef ds:uri="1db1a4da-f074-440c-a7da-18b75f198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4288A-2C19-4939-AB53-AC08726FA946}">
  <ds:schemaRefs>
    <ds:schemaRef ds:uri="http://schemas.openxmlformats.org/officeDocument/2006/bibliography"/>
  </ds:schemaRefs>
</ds:datastoreItem>
</file>

<file path=customXml/itemProps3.xml><?xml version="1.0" encoding="utf-8"?>
<ds:datastoreItem xmlns:ds="http://schemas.openxmlformats.org/officeDocument/2006/customXml" ds:itemID="{30AFF098-6645-42A2-8A49-096E02E89952}">
  <ds:schemaRefs>
    <ds:schemaRef ds:uri="http://schemas.microsoft.com/sharepoint/v3/contenttype/forms"/>
  </ds:schemaRefs>
</ds:datastoreItem>
</file>

<file path=customXml/itemProps4.xml><?xml version="1.0" encoding="utf-8"?>
<ds:datastoreItem xmlns:ds="http://schemas.openxmlformats.org/officeDocument/2006/customXml" ds:itemID="{AD526AD2-3197-44F9-BBE1-A57111074A90}">
  <ds:schemaRefs>
    <ds:schemaRef ds:uri="http://schemas.microsoft.com/office/2006/documentManagement/types"/>
    <ds:schemaRef ds:uri="http://purl.org/dc/terms/"/>
    <ds:schemaRef ds:uri="http://schemas.microsoft.com/office/infopath/2007/PartnerControls"/>
    <ds:schemaRef ds:uri="96759fd9-ae76-458b-b034-ff79911311b3"/>
    <ds:schemaRef ds:uri="http://purl.org/dc/elements/1.1/"/>
    <ds:schemaRef ds:uri="http://www.w3.org/XML/1998/namespace"/>
    <ds:schemaRef ds:uri="http://schemas.microsoft.com/office/2006/metadata/properties"/>
    <ds:schemaRef ds:uri="http://schemas.openxmlformats.org/package/2006/metadata/core-properties"/>
    <ds:schemaRef ds:uri="1db1a4da-f074-440c-a7da-18b75f198bc9"/>
    <ds:schemaRef ds:uri="http://purl.org/dc/dcmitype/"/>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NACCHO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pooja verma</dc:creator>
  <keywords/>
  <lastModifiedBy>Jasmyn Rudd</lastModifiedBy>
  <revision>15</revision>
  <dcterms:created xsi:type="dcterms:W3CDTF">2022-01-18T14:22:00.0000000Z</dcterms:created>
  <dcterms:modified xsi:type="dcterms:W3CDTF">2022-01-19T16:46:10.7244143Z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0x010100021BE36E052FEF43B841903E4CB7377C</vt:lpwstr>
  </property>
</Properties>
</file>