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E87AF" w14:textId="5C503B05" w:rsidR="00DF2BA8" w:rsidRPr="00112E84" w:rsidRDefault="007E11DA" w:rsidP="00DF2BA8">
      <w:pPr>
        <w:pStyle w:val="Heading2"/>
        <w:jc w:val="center"/>
        <w:rPr>
          <w:sz w:val="40"/>
          <w:szCs w:val="40"/>
        </w:rPr>
      </w:pPr>
      <w:r>
        <w:rPr>
          <w:noProof/>
          <w:sz w:val="40"/>
          <w:szCs w:val="40"/>
        </w:rPr>
        <w:drawing>
          <wp:anchor distT="0" distB="0" distL="114300" distR="114300" simplePos="0" relativeHeight="251660288" behindDoc="0" locked="0" layoutInCell="1" allowOverlap="1" wp14:anchorId="1492277C" wp14:editId="09E608EA">
            <wp:simplePos x="0" y="0"/>
            <wp:positionH relativeFrom="rightMargin">
              <wp:posOffset>-9525</wp:posOffset>
            </wp:positionH>
            <wp:positionV relativeFrom="paragraph">
              <wp:posOffset>-781050</wp:posOffset>
            </wp:positionV>
            <wp:extent cx="723900"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sidR="00DF2BA8">
        <w:rPr>
          <w:noProof/>
          <w:sz w:val="40"/>
          <w:szCs w:val="40"/>
        </w:rPr>
        <w:t>Antibiotic Stewardship</w:t>
      </w:r>
      <w:r w:rsidR="00DF2BA8" w:rsidRPr="00112E84">
        <w:rPr>
          <w:sz w:val="40"/>
          <w:szCs w:val="40"/>
        </w:rPr>
        <w:t xml:space="preserve"> </w:t>
      </w:r>
    </w:p>
    <w:p w14:paraId="6AD81EEF" w14:textId="77777777" w:rsidR="00DF2BA8" w:rsidRDefault="00DF2BA8" w:rsidP="00DF2BA8">
      <w:pPr>
        <w:pStyle w:val="NoSpacing"/>
      </w:pPr>
    </w:p>
    <w:p w14:paraId="0027B947" w14:textId="4619F4BE" w:rsidR="00DF2BA8" w:rsidRPr="00AF2D2D" w:rsidRDefault="00DF2BA8" w:rsidP="00DF2BA8">
      <w:pPr>
        <w:jc w:val="center"/>
        <w:rPr>
          <w:sz w:val="24"/>
          <w:szCs w:val="24"/>
        </w:rPr>
      </w:pPr>
      <w:r>
        <w:rPr>
          <w:sz w:val="24"/>
          <w:szCs w:val="24"/>
        </w:rPr>
        <w:t>Antibiotic Stewardship in Long-Term Care Facilities.</w:t>
      </w:r>
    </w:p>
    <w:tbl>
      <w:tblPr>
        <w:tblStyle w:val="TableGrid"/>
        <w:tblW w:w="0" w:type="auto"/>
        <w:tblLook w:val="04A0" w:firstRow="1" w:lastRow="0" w:firstColumn="1" w:lastColumn="0" w:noHBand="0" w:noVBand="1"/>
      </w:tblPr>
      <w:tblGrid>
        <w:gridCol w:w="9350"/>
      </w:tblGrid>
      <w:tr w:rsidR="00DF2BA8" w14:paraId="5DEE2514" w14:textId="77777777" w:rsidTr="00B31408">
        <w:tc>
          <w:tcPr>
            <w:tcW w:w="9350" w:type="dxa"/>
            <w:shd w:val="clear" w:color="auto" w:fill="E2EFD9" w:themeFill="accent6" w:themeFillTint="33"/>
          </w:tcPr>
          <w:p w14:paraId="0EFB956A" w14:textId="4D1C9988" w:rsidR="00DF2BA8" w:rsidRPr="00347F5F" w:rsidRDefault="00DF2BA8" w:rsidP="00B31408">
            <w:pPr>
              <w:rPr>
                <w:b/>
                <w:bCs/>
                <w:sz w:val="28"/>
                <w:szCs w:val="28"/>
              </w:rPr>
            </w:pPr>
            <w:r>
              <w:rPr>
                <w:b/>
                <w:bCs/>
                <w:sz w:val="28"/>
                <w:szCs w:val="28"/>
              </w:rPr>
              <w:t>Resources to Review</w:t>
            </w:r>
          </w:p>
          <w:p w14:paraId="649FB4F6" w14:textId="77777777" w:rsidR="00DF2BA8" w:rsidRDefault="00DF2BA8" w:rsidP="00B31408"/>
        </w:tc>
      </w:tr>
      <w:tr w:rsidR="00DF2BA8" w14:paraId="7626C18C" w14:textId="77777777" w:rsidTr="00B31408">
        <w:tc>
          <w:tcPr>
            <w:tcW w:w="9350" w:type="dxa"/>
          </w:tcPr>
          <w:p w14:paraId="141148E9" w14:textId="6BB93C23" w:rsidR="00DF2BA8" w:rsidRDefault="008C14A2" w:rsidP="00B31408">
            <w:r>
              <w:t xml:space="preserve">The Core Elements of Antibiotic Stewardship for Nursing Homes: </w:t>
            </w:r>
            <w:hyperlink r:id="rId9" w:history="1">
              <w:r w:rsidRPr="00FB0B81">
                <w:rPr>
                  <w:rStyle w:val="Hyperlink"/>
                </w:rPr>
                <w:t>https://www.cdc.gov/antibiotic-use/media/pdfs/core-elements-antibiotic-stewardship-508.pdf</w:t>
              </w:r>
            </w:hyperlink>
            <w:r>
              <w:t xml:space="preserve"> </w:t>
            </w:r>
            <w:r w:rsidR="00DF2BA8">
              <w:t xml:space="preserve"> </w:t>
            </w:r>
          </w:p>
        </w:tc>
      </w:tr>
      <w:tr w:rsidR="008C14A2" w14:paraId="10A2C278" w14:textId="77777777" w:rsidTr="00B31408">
        <w:tc>
          <w:tcPr>
            <w:tcW w:w="9350" w:type="dxa"/>
          </w:tcPr>
          <w:p w14:paraId="234B08F1" w14:textId="1162A88E" w:rsidR="008C14A2" w:rsidRDefault="00026E67" w:rsidP="00B31408">
            <w:r>
              <w:t xml:space="preserve">CDC’s Antibiotic Stewardship Class: </w:t>
            </w:r>
            <w:hyperlink r:id="rId10" w:history="1">
              <w:r w:rsidRPr="00FB0B81">
                <w:rPr>
                  <w:rStyle w:val="Hyperlink"/>
                </w:rPr>
                <w:t>https://www.train.org/cdctrain/training_plan/3697</w:t>
              </w:r>
            </w:hyperlink>
            <w:r>
              <w:t xml:space="preserve"> </w:t>
            </w:r>
          </w:p>
        </w:tc>
      </w:tr>
      <w:tr w:rsidR="004671F1" w14:paraId="28F7AC4F" w14:textId="77777777" w:rsidTr="00B31408">
        <w:tc>
          <w:tcPr>
            <w:tcW w:w="9350" w:type="dxa"/>
          </w:tcPr>
          <w:p w14:paraId="64659AFC" w14:textId="54A9CE16" w:rsidR="004671F1" w:rsidRDefault="004671F1" w:rsidP="00B31408">
            <w:r>
              <w:t xml:space="preserve">Toolkit to Improve Antibiotic Use in Long-Term Care: </w:t>
            </w:r>
            <w:hyperlink r:id="rId11" w:history="1">
              <w:r w:rsidRPr="00FB0B81">
                <w:rPr>
                  <w:rStyle w:val="Hyperlink"/>
                </w:rPr>
                <w:t>https://www.ahrq.gov/antibiotic-use/long-term-care/index.html</w:t>
              </w:r>
            </w:hyperlink>
            <w:r>
              <w:t xml:space="preserve"> </w:t>
            </w:r>
          </w:p>
        </w:tc>
      </w:tr>
    </w:tbl>
    <w:p w14:paraId="03C0829E" w14:textId="77777777" w:rsidR="00DF2BA8" w:rsidRDefault="00DF2BA8" w:rsidP="00DF2BA8"/>
    <w:tbl>
      <w:tblPr>
        <w:tblStyle w:val="TableGrid"/>
        <w:tblW w:w="0" w:type="auto"/>
        <w:tblLook w:val="04A0" w:firstRow="1" w:lastRow="0" w:firstColumn="1" w:lastColumn="0" w:noHBand="0" w:noVBand="1"/>
      </w:tblPr>
      <w:tblGrid>
        <w:gridCol w:w="9350"/>
      </w:tblGrid>
      <w:tr w:rsidR="00DF2BA8" w14:paraId="42508468" w14:textId="77777777" w:rsidTr="00B31408">
        <w:tc>
          <w:tcPr>
            <w:tcW w:w="9350" w:type="dxa"/>
            <w:shd w:val="clear" w:color="auto" w:fill="E2EFD9" w:themeFill="accent6" w:themeFillTint="33"/>
          </w:tcPr>
          <w:p w14:paraId="0B5F9F39" w14:textId="61971045" w:rsidR="00DF2BA8" w:rsidRDefault="008C14A2" w:rsidP="00B31408">
            <w:pPr>
              <w:shd w:val="clear" w:color="auto" w:fill="E2EFD9" w:themeFill="accent6" w:themeFillTint="33"/>
              <w:rPr>
                <w:b/>
                <w:bCs/>
                <w:sz w:val="28"/>
                <w:szCs w:val="28"/>
              </w:rPr>
            </w:pPr>
            <w:r>
              <w:rPr>
                <w:b/>
                <w:bCs/>
                <w:sz w:val="28"/>
                <w:szCs w:val="28"/>
              </w:rPr>
              <w:t xml:space="preserve">Core Elements of Antibiotic Stewardship </w:t>
            </w:r>
          </w:p>
          <w:p w14:paraId="6E6C0D8B" w14:textId="77777777" w:rsidR="00DF2BA8" w:rsidRPr="00923044" w:rsidRDefault="00DF2BA8" w:rsidP="00B31408">
            <w:pPr>
              <w:rPr>
                <w:b/>
                <w:bCs/>
              </w:rPr>
            </w:pPr>
            <w:r w:rsidRPr="00923044">
              <w:rPr>
                <w:b/>
                <w:bCs/>
                <w:sz w:val="28"/>
                <w:szCs w:val="28"/>
              </w:rPr>
              <w:t xml:space="preserve"> </w:t>
            </w:r>
          </w:p>
        </w:tc>
      </w:tr>
      <w:tr w:rsidR="00DF2BA8" w14:paraId="2D258AD9" w14:textId="77777777" w:rsidTr="00B31408">
        <w:tc>
          <w:tcPr>
            <w:tcW w:w="9350" w:type="dxa"/>
          </w:tcPr>
          <w:p w14:paraId="25F46DD0" w14:textId="486CE2D8" w:rsidR="00DF2BA8" w:rsidRDefault="008C14A2" w:rsidP="00B31408">
            <w:r>
              <w:t>Antibiotic Stewardship refers to a set of commitments and activities designed to “optimize the treatment of infections while reducing the adverse events associated with antibiotic use.”</w:t>
            </w:r>
            <w:r w:rsidR="00DF2BA8">
              <w:t xml:space="preserve"> </w:t>
            </w:r>
            <w:r w:rsidR="007E11DA">
              <w:t>(CDC)</w:t>
            </w:r>
          </w:p>
        </w:tc>
      </w:tr>
      <w:tr w:rsidR="00DF2BA8" w14:paraId="21C106B1" w14:textId="77777777" w:rsidTr="00B31408">
        <w:tc>
          <w:tcPr>
            <w:tcW w:w="9350" w:type="dxa"/>
            <w:shd w:val="clear" w:color="auto" w:fill="DEEAF6" w:themeFill="accent5" w:themeFillTint="33"/>
          </w:tcPr>
          <w:p w14:paraId="144C68D9" w14:textId="4E656335" w:rsidR="00DF2BA8" w:rsidRPr="00347F5F" w:rsidRDefault="0020418C" w:rsidP="00B31408">
            <w:pPr>
              <w:rPr>
                <w:b/>
                <w:bCs/>
                <w:sz w:val="24"/>
                <w:szCs w:val="24"/>
              </w:rPr>
            </w:pPr>
            <w:r>
              <w:rPr>
                <w:b/>
                <w:bCs/>
                <w:sz w:val="24"/>
                <w:szCs w:val="24"/>
              </w:rPr>
              <w:t>Leadership Commitment</w:t>
            </w:r>
          </w:p>
          <w:p w14:paraId="525F0148" w14:textId="77777777" w:rsidR="00DF2BA8" w:rsidRPr="00923044" w:rsidRDefault="00DF2BA8" w:rsidP="00B31408">
            <w:pPr>
              <w:rPr>
                <w:b/>
                <w:bCs/>
              </w:rPr>
            </w:pPr>
          </w:p>
        </w:tc>
      </w:tr>
      <w:tr w:rsidR="00DF2BA8" w14:paraId="4A4307C7" w14:textId="77777777" w:rsidTr="00B31408">
        <w:tc>
          <w:tcPr>
            <w:tcW w:w="9350" w:type="dxa"/>
          </w:tcPr>
          <w:p w14:paraId="052A7E7C" w14:textId="749A9CF6" w:rsidR="00DF2BA8" w:rsidRDefault="001B4438" w:rsidP="00B31408">
            <w:pPr>
              <w:pStyle w:val="ListParagraph"/>
              <w:numPr>
                <w:ilvl w:val="0"/>
                <w:numId w:val="1"/>
              </w:numPr>
            </w:pPr>
            <w:r>
              <w:rPr>
                <w:rStyle w:val="normaltextrun"/>
                <w:rFonts w:ascii="Calibri" w:hAnsi="Calibri" w:cs="Calibri"/>
                <w:color w:val="000000"/>
                <w:shd w:val="clear" w:color="auto" w:fill="FFFFFF"/>
              </w:rPr>
              <w:t>Communication from leadership that creates a culture that promotes antibiotic stewardship. This may include messaging, education, and celebrating improvement.</w:t>
            </w:r>
            <w:r>
              <w:rPr>
                <w:rStyle w:val="eop"/>
                <w:rFonts w:ascii="Calibri" w:hAnsi="Calibri" w:cs="Calibri"/>
                <w:color w:val="000000"/>
                <w:shd w:val="clear" w:color="auto" w:fill="FFFFFF"/>
              </w:rPr>
              <w:t> </w:t>
            </w:r>
          </w:p>
        </w:tc>
      </w:tr>
      <w:tr w:rsidR="00DF2BA8" w14:paraId="767EC56D" w14:textId="77777777" w:rsidTr="00B31408">
        <w:tc>
          <w:tcPr>
            <w:tcW w:w="9350" w:type="dxa"/>
          </w:tcPr>
          <w:p w14:paraId="4D3B497B" w14:textId="041C7473" w:rsidR="00DF2BA8" w:rsidRDefault="006F7FA2" w:rsidP="00B31408">
            <w:pPr>
              <w:pStyle w:val="ListParagraph"/>
              <w:numPr>
                <w:ilvl w:val="0"/>
                <w:numId w:val="1"/>
              </w:numPr>
            </w:pPr>
            <w:r>
              <w:t>Incorporate stewardship-related tasks into position descriptions for medical director</w:t>
            </w:r>
            <w:r w:rsidR="001B4438">
              <w:t>s</w:t>
            </w:r>
            <w:r>
              <w:t xml:space="preserve">, nurse leads, infection preventionists, and other similar roles. </w:t>
            </w:r>
          </w:p>
        </w:tc>
      </w:tr>
      <w:tr w:rsidR="00DF2BA8" w14:paraId="50805255" w14:textId="77777777" w:rsidTr="00B31408">
        <w:tc>
          <w:tcPr>
            <w:tcW w:w="9350" w:type="dxa"/>
            <w:shd w:val="clear" w:color="auto" w:fill="DEEAF6" w:themeFill="accent5" w:themeFillTint="33"/>
          </w:tcPr>
          <w:p w14:paraId="007DD924" w14:textId="58FACA87" w:rsidR="00DF2BA8" w:rsidRPr="00347F5F" w:rsidRDefault="0020418C" w:rsidP="00B31408">
            <w:pPr>
              <w:rPr>
                <w:b/>
                <w:bCs/>
                <w:sz w:val="24"/>
                <w:szCs w:val="24"/>
              </w:rPr>
            </w:pPr>
            <w:r>
              <w:rPr>
                <w:b/>
                <w:bCs/>
                <w:sz w:val="24"/>
                <w:szCs w:val="24"/>
              </w:rPr>
              <w:t>Accountability</w:t>
            </w:r>
          </w:p>
          <w:p w14:paraId="76FFDAF8" w14:textId="77777777" w:rsidR="00DF2BA8" w:rsidRPr="00117A5B" w:rsidRDefault="00DF2BA8" w:rsidP="00B31408">
            <w:pPr>
              <w:rPr>
                <w:b/>
                <w:bCs/>
              </w:rPr>
            </w:pPr>
          </w:p>
        </w:tc>
      </w:tr>
      <w:tr w:rsidR="00DF2BA8" w14:paraId="0F4203A3" w14:textId="77777777" w:rsidTr="00B31408">
        <w:tc>
          <w:tcPr>
            <w:tcW w:w="9350" w:type="dxa"/>
          </w:tcPr>
          <w:p w14:paraId="581A97E5" w14:textId="0A157743" w:rsidR="00DF2BA8" w:rsidRDefault="001B4438" w:rsidP="00B31408">
            <w:pPr>
              <w:pStyle w:val="ListParagraph"/>
              <w:numPr>
                <w:ilvl w:val="0"/>
                <w:numId w:val="2"/>
              </w:numPr>
            </w:pPr>
            <w:r>
              <w:rPr>
                <w:rStyle w:val="normaltextrun"/>
                <w:rFonts w:ascii="Calibri" w:hAnsi="Calibri" w:cs="Calibri"/>
                <w:color w:val="000000"/>
                <w:shd w:val="clear" w:color="auto" w:fill="FFFFFF"/>
              </w:rPr>
              <w:t>Leadership roles should set standards for antibiotic prescribing that clinical staff feel confident in following. The knowledge, perception, and attitudes of leadership and nursing staff play a significant role in how information is communicated to clinicians who are deciding whether to initiate an antibiotic prescription for a resident. </w:t>
            </w:r>
            <w:r>
              <w:rPr>
                <w:rStyle w:val="eop"/>
                <w:rFonts w:ascii="Calibri" w:hAnsi="Calibri" w:cs="Calibri"/>
                <w:color w:val="000000"/>
                <w:shd w:val="clear" w:color="auto" w:fill="FFFFFF"/>
              </w:rPr>
              <w:t> </w:t>
            </w:r>
          </w:p>
        </w:tc>
      </w:tr>
      <w:tr w:rsidR="00DF2BA8" w14:paraId="6E49F4A7" w14:textId="77777777" w:rsidTr="00B31408">
        <w:tc>
          <w:tcPr>
            <w:tcW w:w="9350" w:type="dxa"/>
          </w:tcPr>
          <w:p w14:paraId="729236B7" w14:textId="6C641F29" w:rsidR="00DF2BA8" w:rsidRDefault="001B4438" w:rsidP="00B31408">
            <w:pPr>
              <w:pStyle w:val="ListParagraph"/>
              <w:numPr>
                <w:ilvl w:val="0"/>
                <w:numId w:val="2"/>
              </w:numPr>
            </w:pPr>
            <w:r>
              <w:rPr>
                <w:rStyle w:val="normaltextrun"/>
                <w:rFonts w:ascii="Calibri" w:hAnsi="Calibri" w:cs="Calibri"/>
                <w:color w:val="000000"/>
                <w:shd w:val="clear" w:color="auto" w:fill="FFFFFF"/>
              </w:rPr>
              <w:t>Utilize available resources such as pharmacists, infection preventionists, lab employees, and the local health department to stay educated on best practices and track antibiotic use to identify areas that could be improved upon.</w:t>
            </w:r>
            <w:r>
              <w:rPr>
                <w:rStyle w:val="eop"/>
                <w:rFonts w:ascii="Calibri" w:hAnsi="Calibri" w:cs="Calibri"/>
                <w:color w:val="000000"/>
                <w:shd w:val="clear" w:color="auto" w:fill="FFFFFF"/>
              </w:rPr>
              <w:t> </w:t>
            </w:r>
          </w:p>
        </w:tc>
      </w:tr>
      <w:tr w:rsidR="00DF2BA8" w14:paraId="7CDA572A" w14:textId="77777777" w:rsidTr="00B31408">
        <w:tc>
          <w:tcPr>
            <w:tcW w:w="9350" w:type="dxa"/>
            <w:shd w:val="clear" w:color="auto" w:fill="DEEAF6" w:themeFill="accent5" w:themeFillTint="33"/>
          </w:tcPr>
          <w:p w14:paraId="263B9358" w14:textId="11F6DB61" w:rsidR="00DF2BA8" w:rsidRPr="00347F5F" w:rsidRDefault="0020418C" w:rsidP="00B31408">
            <w:pPr>
              <w:rPr>
                <w:b/>
                <w:bCs/>
                <w:sz w:val="24"/>
                <w:szCs w:val="24"/>
              </w:rPr>
            </w:pPr>
            <w:r>
              <w:rPr>
                <w:b/>
                <w:bCs/>
                <w:sz w:val="24"/>
                <w:szCs w:val="24"/>
              </w:rPr>
              <w:t>Drug Expertise</w:t>
            </w:r>
          </w:p>
          <w:p w14:paraId="5690675E" w14:textId="77777777" w:rsidR="00DF2BA8" w:rsidRDefault="00DF2BA8" w:rsidP="00B31408"/>
        </w:tc>
      </w:tr>
      <w:tr w:rsidR="00DF2BA8" w14:paraId="6E2EAE2B" w14:textId="77777777" w:rsidTr="00B31408">
        <w:tc>
          <w:tcPr>
            <w:tcW w:w="9350" w:type="dxa"/>
          </w:tcPr>
          <w:p w14:paraId="5F4ED42D" w14:textId="7347869D" w:rsidR="00DF2BA8" w:rsidRPr="00117A5B" w:rsidRDefault="001B4438" w:rsidP="00B31408">
            <w:pPr>
              <w:pStyle w:val="ListParagraph"/>
              <w:numPr>
                <w:ilvl w:val="0"/>
                <w:numId w:val="3"/>
              </w:numPr>
            </w:pPr>
            <w:r>
              <w:rPr>
                <w:rStyle w:val="normaltextrun"/>
                <w:rFonts w:ascii="Calibri" w:hAnsi="Calibri" w:cs="Calibri"/>
                <w:color w:val="000000"/>
                <w:shd w:val="clear" w:color="auto" w:fill="FFFFFF"/>
              </w:rPr>
              <w:t>Establish relationships with individuals who have antibiotic expertise and implement recommended antibiotic stewardship activities. </w:t>
            </w:r>
            <w:r>
              <w:rPr>
                <w:rStyle w:val="eop"/>
                <w:rFonts w:ascii="Calibri" w:hAnsi="Calibri" w:cs="Calibri"/>
                <w:color w:val="000000"/>
                <w:shd w:val="clear" w:color="auto" w:fill="FFFFFF"/>
              </w:rPr>
              <w:t> </w:t>
            </w:r>
          </w:p>
        </w:tc>
      </w:tr>
      <w:tr w:rsidR="00DF2BA8" w14:paraId="6BBADA97" w14:textId="77777777" w:rsidTr="00B31408">
        <w:tc>
          <w:tcPr>
            <w:tcW w:w="9350" w:type="dxa"/>
            <w:shd w:val="clear" w:color="auto" w:fill="DEEAF6" w:themeFill="accent5" w:themeFillTint="33"/>
          </w:tcPr>
          <w:p w14:paraId="584D2778" w14:textId="667151F0" w:rsidR="00DF2BA8" w:rsidRPr="00347F5F" w:rsidRDefault="0020418C" w:rsidP="00B31408">
            <w:pPr>
              <w:rPr>
                <w:b/>
                <w:bCs/>
                <w:sz w:val="24"/>
                <w:szCs w:val="24"/>
              </w:rPr>
            </w:pPr>
            <w:r>
              <w:rPr>
                <w:b/>
                <w:bCs/>
                <w:sz w:val="24"/>
                <w:szCs w:val="24"/>
              </w:rPr>
              <w:t>Action</w:t>
            </w:r>
          </w:p>
          <w:p w14:paraId="22EFFC9D" w14:textId="77777777" w:rsidR="00DF2BA8" w:rsidRDefault="00DF2BA8" w:rsidP="00B31408"/>
        </w:tc>
      </w:tr>
      <w:tr w:rsidR="00DF2BA8" w14:paraId="6C7CFB93" w14:textId="77777777" w:rsidTr="00B31408">
        <w:tc>
          <w:tcPr>
            <w:tcW w:w="9350" w:type="dxa"/>
          </w:tcPr>
          <w:p w14:paraId="7A60BE99" w14:textId="481DE371" w:rsidR="00DF2BA8" w:rsidRPr="00117A5B" w:rsidRDefault="00EB7D08" w:rsidP="00B31408">
            <w:pPr>
              <w:pStyle w:val="ListParagraph"/>
              <w:numPr>
                <w:ilvl w:val="0"/>
                <w:numId w:val="7"/>
              </w:numPr>
            </w:pPr>
            <w:r>
              <w:t>Implement policies that support optimal antibiotic use.</w:t>
            </w:r>
          </w:p>
        </w:tc>
      </w:tr>
      <w:tr w:rsidR="00DF2BA8" w14:paraId="3307E560" w14:textId="77777777" w:rsidTr="00B31408">
        <w:tc>
          <w:tcPr>
            <w:tcW w:w="9350" w:type="dxa"/>
          </w:tcPr>
          <w:p w14:paraId="60803F43" w14:textId="30E29BDC" w:rsidR="00DF2BA8" w:rsidRDefault="00EB7D08" w:rsidP="00EB7D08">
            <w:pPr>
              <w:pStyle w:val="ListParagraph"/>
              <w:numPr>
                <w:ilvl w:val="0"/>
                <w:numId w:val="7"/>
              </w:numPr>
            </w:pPr>
            <w:r>
              <w:t>Identify situations that may be driving inappropriate courses of antibiotics and implement specific interventions to improve use.</w:t>
            </w:r>
          </w:p>
        </w:tc>
      </w:tr>
      <w:tr w:rsidR="00DF2BA8" w14:paraId="6CFC5136" w14:textId="77777777" w:rsidTr="00B31408">
        <w:tc>
          <w:tcPr>
            <w:tcW w:w="9350" w:type="dxa"/>
          </w:tcPr>
          <w:p w14:paraId="3F2797EE" w14:textId="26FD6E43" w:rsidR="00DF2BA8" w:rsidRDefault="00EB7D08" w:rsidP="00EB7D08">
            <w:pPr>
              <w:pStyle w:val="ListParagraph"/>
              <w:numPr>
                <w:ilvl w:val="0"/>
                <w:numId w:val="7"/>
              </w:numPr>
            </w:pPr>
            <w:r>
              <w:t>Standardize the practices that should be applied during the care of residents that are suspected to have an infection or are starting antibiotics.</w:t>
            </w:r>
          </w:p>
        </w:tc>
      </w:tr>
      <w:tr w:rsidR="00DF2BA8" w14:paraId="5E0119B9" w14:textId="77777777" w:rsidTr="00B31408">
        <w:tc>
          <w:tcPr>
            <w:tcW w:w="9350" w:type="dxa"/>
            <w:shd w:val="clear" w:color="auto" w:fill="DEEAF6" w:themeFill="accent5" w:themeFillTint="33"/>
          </w:tcPr>
          <w:p w14:paraId="26C476F6" w14:textId="77574175" w:rsidR="00DF2BA8" w:rsidRPr="00347F5F" w:rsidRDefault="0020418C" w:rsidP="00B31408">
            <w:pPr>
              <w:rPr>
                <w:b/>
                <w:bCs/>
                <w:sz w:val="24"/>
                <w:szCs w:val="24"/>
              </w:rPr>
            </w:pPr>
            <w:r>
              <w:rPr>
                <w:b/>
                <w:bCs/>
                <w:sz w:val="24"/>
                <w:szCs w:val="24"/>
              </w:rPr>
              <w:t>Tracking</w:t>
            </w:r>
            <w:r w:rsidR="004C08B4">
              <w:rPr>
                <w:b/>
                <w:bCs/>
                <w:sz w:val="24"/>
                <w:szCs w:val="24"/>
              </w:rPr>
              <w:t xml:space="preserve"> and Reporting</w:t>
            </w:r>
          </w:p>
          <w:p w14:paraId="5A147609" w14:textId="77777777" w:rsidR="00DF2BA8" w:rsidRDefault="00DF2BA8" w:rsidP="00B31408"/>
        </w:tc>
      </w:tr>
      <w:tr w:rsidR="00DF2BA8" w14:paraId="47D23949" w14:textId="77777777" w:rsidTr="00B31408">
        <w:tc>
          <w:tcPr>
            <w:tcW w:w="9350" w:type="dxa"/>
          </w:tcPr>
          <w:p w14:paraId="6B44C1F8" w14:textId="0ACC5FE4" w:rsidR="00DF2BA8" w:rsidRPr="003445B9" w:rsidRDefault="001B4438" w:rsidP="00B31408">
            <w:pPr>
              <w:pStyle w:val="ListParagraph"/>
              <w:numPr>
                <w:ilvl w:val="0"/>
                <w:numId w:val="4"/>
              </w:numPr>
            </w:pPr>
            <w:r>
              <w:rPr>
                <w:rStyle w:val="normaltextrun"/>
                <w:rFonts w:ascii="Calibri" w:hAnsi="Calibri" w:cs="Calibri"/>
                <w:color w:val="000000"/>
                <w:shd w:val="clear" w:color="auto" w:fill="FFFFFF"/>
              </w:rPr>
              <w:lastRenderedPageBreak/>
              <w:t>Track how and why antibiotics are prescribed to determine if the assessment and prescription are in accordance with facility policies and practices.</w:t>
            </w:r>
            <w:r>
              <w:rPr>
                <w:rStyle w:val="eop"/>
                <w:rFonts w:ascii="Calibri" w:hAnsi="Calibri" w:cs="Calibri"/>
                <w:color w:val="000000"/>
                <w:shd w:val="clear" w:color="auto" w:fill="FFFFFF"/>
              </w:rPr>
              <w:t> </w:t>
            </w:r>
          </w:p>
        </w:tc>
      </w:tr>
      <w:tr w:rsidR="004C08B4" w14:paraId="06DC1317" w14:textId="77777777" w:rsidTr="00B31408">
        <w:tc>
          <w:tcPr>
            <w:tcW w:w="9350" w:type="dxa"/>
          </w:tcPr>
          <w:p w14:paraId="77F82CD0" w14:textId="1B8BB56B" w:rsidR="004C08B4" w:rsidRDefault="001B4438" w:rsidP="00B31408">
            <w:pPr>
              <w:pStyle w:val="ListParagraph"/>
              <w:numPr>
                <w:ilvl w:val="0"/>
                <w:numId w:val="4"/>
              </w:numPr>
            </w:pPr>
            <w:r>
              <w:rPr>
                <w:rStyle w:val="normaltextrun"/>
                <w:rFonts w:ascii="Calibri" w:hAnsi="Calibri" w:cs="Calibri"/>
                <w:color w:val="000000"/>
                <w:shd w:val="clear" w:color="auto" w:fill="FFFFFF"/>
              </w:rPr>
              <w:t>Track how often and how many antibiotics are prescribed. Review patterns and use this data to guide stewardship interventions and review policies.</w:t>
            </w:r>
            <w:r>
              <w:rPr>
                <w:rStyle w:val="eop"/>
                <w:rFonts w:ascii="Calibri" w:hAnsi="Calibri" w:cs="Calibri"/>
                <w:color w:val="000000"/>
                <w:shd w:val="clear" w:color="auto" w:fill="FFFFFF"/>
              </w:rPr>
              <w:t> </w:t>
            </w:r>
          </w:p>
        </w:tc>
      </w:tr>
      <w:tr w:rsidR="00DF2BA8" w14:paraId="18D649FF" w14:textId="77777777" w:rsidTr="00B31408">
        <w:tc>
          <w:tcPr>
            <w:tcW w:w="9350" w:type="dxa"/>
          </w:tcPr>
          <w:p w14:paraId="66EC7877" w14:textId="06ABA097" w:rsidR="00DF2BA8" w:rsidRDefault="001B4438" w:rsidP="00B31408">
            <w:pPr>
              <w:pStyle w:val="ListParagraph"/>
              <w:numPr>
                <w:ilvl w:val="0"/>
                <w:numId w:val="4"/>
              </w:numPr>
            </w:pPr>
            <w:r>
              <w:rPr>
                <w:rStyle w:val="normaltextrun"/>
                <w:rFonts w:ascii="Calibri" w:hAnsi="Calibri" w:cs="Calibri"/>
                <w:color w:val="000000"/>
                <w:shd w:val="clear" w:color="auto" w:fill="FFFFFF"/>
              </w:rPr>
              <w:t>Track adverse outcomes and costs from antibiotics. Use this data to demonstrate that antibiotic stewardship programs and activities are successful in improving patient outcomes and saving money.</w:t>
            </w:r>
            <w:r>
              <w:rPr>
                <w:rStyle w:val="eop"/>
                <w:rFonts w:ascii="Calibri" w:hAnsi="Calibri" w:cs="Calibri"/>
                <w:color w:val="000000"/>
                <w:shd w:val="clear" w:color="auto" w:fill="FFFFFF"/>
              </w:rPr>
              <w:t> </w:t>
            </w:r>
          </w:p>
        </w:tc>
      </w:tr>
      <w:tr w:rsidR="00DF2BA8" w14:paraId="2658E6DD" w14:textId="77777777" w:rsidTr="00B31408">
        <w:tc>
          <w:tcPr>
            <w:tcW w:w="9350" w:type="dxa"/>
            <w:shd w:val="clear" w:color="auto" w:fill="DEEAF6" w:themeFill="accent5" w:themeFillTint="33"/>
          </w:tcPr>
          <w:p w14:paraId="35B2C5BE" w14:textId="6D2A6BC2" w:rsidR="00DF2BA8" w:rsidRDefault="004C08B4" w:rsidP="004C08B4">
            <w:r>
              <w:rPr>
                <w:b/>
                <w:bCs/>
                <w:sz w:val="24"/>
                <w:szCs w:val="24"/>
              </w:rPr>
              <w:t>Education</w:t>
            </w:r>
          </w:p>
        </w:tc>
      </w:tr>
      <w:tr w:rsidR="00DF2BA8" w14:paraId="3701DF07" w14:textId="77777777" w:rsidTr="00B31408">
        <w:tc>
          <w:tcPr>
            <w:tcW w:w="9350" w:type="dxa"/>
          </w:tcPr>
          <w:p w14:paraId="1FBD2A06" w14:textId="6C93A8F3" w:rsidR="00DF2BA8" w:rsidRPr="00C92C64" w:rsidRDefault="001B4438" w:rsidP="004C08B4">
            <w:pPr>
              <w:pStyle w:val="ListParagraph"/>
              <w:numPr>
                <w:ilvl w:val="0"/>
                <w:numId w:val="8"/>
              </w:numPr>
            </w:pPr>
            <w:r>
              <w:rPr>
                <w:rStyle w:val="normaltextrun"/>
                <w:rFonts w:ascii="Calibri" w:hAnsi="Calibri" w:cs="Calibri"/>
                <w:color w:val="000000"/>
                <w:shd w:val="clear" w:color="auto" w:fill="FFFFFF"/>
              </w:rPr>
              <w:t>Long-term care facility staff can provide education on antibiotic stewardship to residents and their families, and explain how this improves the care they are receiving.</w:t>
            </w:r>
            <w:r>
              <w:rPr>
                <w:rStyle w:val="eop"/>
                <w:rFonts w:ascii="Calibri" w:hAnsi="Calibri" w:cs="Calibri"/>
                <w:color w:val="000000"/>
                <w:shd w:val="clear" w:color="auto" w:fill="FFFFFF"/>
              </w:rPr>
              <w:t> </w:t>
            </w:r>
          </w:p>
        </w:tc>
      </w:tr>
      <w:tr w:rsidR="00DF2BA8" w14:paraId="722DA8DB" w14:textId="77777777" w:rsidTr="00B31408">
        <w:tc>
          <w:tcPr>
            <w:tcW w:w="9350" w:type="dxa"/>
          </w:tcPr>
          <w:p w14:paraId="5DD5E7E2" w14:textId="4751F49D" w:rsidR="00DF2BA8" w:rsidRDefault="005D6BC5" w:rsidP="004C08B4">
            <w:pPr>
              <w:pStyle w:val="ListParagraph"/>
              <w:numPr>
                <w:ilvl w:val="0"/>
                <w:numId w:val="8"/>
              </w:numPr>
            </w:pPr>
            <w:r>
              <w:t>Improvements can be sustained by incorporating feedback and education to providers.</w:t>
            </w:r>
          </w:p>
        </w:tc>
      </w:tr>
    </w:tbl>
    <w:p w14:paraId="5F5459B8" w14:textId="77777777" w:rsidR="00DF2BA8" w:rsidRDefault="00DF2BA8" w:rsidP="00DF2BA8"/>
    <w:p w14:paraId="22D6207A" w14:textId="77777777" w:rsidR="00DF2BA8" w:rsidRDefault="00DF2BA8" w:rsidP="00DF2BA8"/>
    <w:tbl>
      <w:tblPr>
        <w:tblStyle w:val="TableGrid"/>
        <w:tblW w:w="0" w:type="auto"/>
        <w:tblLook w:val="04A0" w:firstRow="1" w:lastRow="0" w:firstColumn="1" w:lastColumn="0" w:noHBand="0" w:noVBand="1"/>
      </w:tblPr>
      <w:tblGrid>
        <w:gridCol w:w="9350"/>
      </w:tblGrid>
      <w:tr w:rsidR="00DF2BA8" w14:paraId="5A985474" w14:textId="77777777" w:rsidTr="00B31408">
        <w:tc>
          <w:tcPr>
            <w:tcW w:w="9350" w:type="dxa"/>
            <w:shd w:val="clear" w:color="auto" w:fill="E2EFD9" w:themeFill="accent6" w:themeFillTint="33"/>
          </w:tcPr>
          <w:p w14:paraId="0BA8A3BE" w14:textId="77777777" w:rsidR="00DF2BA8" w:rsidRPr="00A7240D" w:rsidRDefault="00DF2BA8" w:rsidP="00B31408">
            <w:pPr>
              <w:rPr>
                <w:b/>
                <w:bCs/>
                <w:sz w:val="28"/>
                <w:szCs w:val="28"/>
              </w:rPr>
            </w:pPr>
            <w:r w:rsidRPr="00A7240D">
              <w:rPr>
                <w:b/>
                <w:bCs/>
                <w:sz w:val="28"/>
                <w:szCs w:val="28"/>
              </w:rPr>
              <w:t>Local Health Department Contact Information</w:t>
            </w:r>
          </w:p>
          <w:p w14:paraId="5F9E6512" w14:textId="77777777" w:rsidR="00DF2BA8" w:rsidRDefault="00DF2BA8" w:rsidP="00B31408"/>
        </w:tc>
      </w:tr>
      <w:tr w:rsidR="00DF2BA8" w14:paraId="7AEC064A" w14:textId="77777777" w:rsidTr="00B31408">
        <w:tc>
          <w:tcPr>
            <w:tcW w:w="9350" w:type="dxa"/>
          </w:tcPr>
          <w:p w14:paraId="20ECDC14" w14:textId="77777777" w:rsidR="00DF2BA8" w:rsidRDefault="00DF2BA8" w:rsidP="00B31408">
            <w:pPr>
              <w:jc w:val="center"/>
            </w:pPr>
            <w:r>
              <w:t>West Hartford-Bloomfield Health District</w:t>
            </w:r>
          </w:p>
          <w:p w14:paraId="39C3C15C" w14:textId="77777777" w:rsidR="00DF2BA8" w:rsidRDefault="00DF2BA8" w:rsidP="00B31408">
            <w:pPr>
              <w:jc w:val="center"/>
            </w:pPr>
            <w:r>
              <w:t>580 Cottage Grove Road, Suite 100</w:t>
            </w:r>
          </w:p>
          <w:p w14:paraId="25DDB4F3" w14:textId="77777777" w:rsidR="00DF2BA8" w:rsidRDefault="00DF2BA8" w:rsidP="00B31408">
            <w:pPr>
              <w:jc w:val="center"/>
            </w:pPr>
            <w:r>
              <w:t>Bloomfield, CT 06002</w:t>
            </w:r>
          </w:p>
          <w:p w14:paraId="45738F8A" w14:textId="77777777" w:rsidR="00DF2BA8" w:rsidRDefault="00DF2BA8" w:rsidP="00B31408">
            <w:pPr>
              <w:jc w:val="center"/>
            </w:pPr>
            <w:r>
              <w:t>Phone: 860-561-7900</w:t>
            </w:r>
          </w:p>
          <w:p w14:paraId="7D5682FC" w14:textId="77777777" w:rsidR="00DF2BA8" w:rsidRDefault="00DF2BA8" w:rsidP="00B31408">
            <w:pPr>
              <w:jc w:val="center"/>
            </w:pPr>
            <w:r>
              <w:t>Fax: 860-561-7918</w:t>
            </w:r>
          </w:p>
        </w:tc>
      </w:tr>
    </w:tbl>
    <w:p w14:paraId="4BBA31C1" w14:textId="77777777" w:rsidR="00DF2BA8" w:rsidRPr="003672D9" w:rsidRDefault="00DF2BA8" w:rsidP="00DF2BA8"/>
    <w:p w14:paraId="55CCA549" w14:textId="77777777" w:rsidR="00566894" w:rsidRDefault="00566894"/>
    <w:sectPr w:rsidR="00566894" w:rsidSect="003B629C">
      <w:headerReference w:type="default" r:id="rId12"/>
      <w:footerReference w:type="default" r:id="rId13"/>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5C253" w14:textId="77777777" w:rsidR="007E11DA" w:rsidRDefault="007E11DA" w:rsidP="007E11DA">
      <w:pPr>
        <w:spacing w:after="0" w:line="240" w:lineRule="auto"/>
      </w:pPr>
      <w:r>
        <w:separator/>
      </w:r>
    </w:p>
  </w:endnote>
  <w:endnote w:type="continuationSeparator" w:id="0">
    <w:p w14:paraId="3636B1BD" w14:textId="77777777" w:rsidR="007E11DA" w:rsidRDefault="007E11DA" w:rsidP="007E1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7C07" w14:textId="77777777" w:rsidR="003B629C" w:rsidRPr="003B629C" w:rsidRDefault="001B4438">
    <w:pPr>
      <w:pStyle w:val="Footer"/>
      <w:rPr>
        <w:sz w:val="20"/>
        <w:szCs w:val="20"/>
      </w:rPr>
    </w:pPr>
    <w:r w:rsidRPr="003B629C">
      <w:rPr>
        <w:sz w:val="20"/>
        <w:szCs w:val="20"/>
      </w:rPr>
      <w:t>West Hartford-Bloomfield Health District</w:t>
    </w:r>
  </w:p>
  <w:p w14:paraId="13160245" w14:textId="3782AD95" w:rsidR="003B629C" w:rsidRPr="003B629C" w:rsidRDefault="007E11DA">
    <w:pPr>
      <w:pStyle w:val="Footer"/>
      <w:rPr>
        <w:sz w:val="20"/>
        <w:szCs w:val="20"/>
      </w:rPr>
    </w:pPr>
    <w:r>
      <w:rPr>
        <w:sz w:val="20"/>
        <w:szCs w:val="20"/>
      </w:rPr>
      <w:t>Antibiotic Stewardship</w:t>
    </w:r>
    <w:r w:rsidR="001B4438" w:rsidRPr="003B629C">
      <w:rPr>
        <w:sz w:val="20"/>
        <w:szCs w:val="20"/>
      </w:rPr>
      <w:t xml:space="preserve"> for Long-Term Care Facilities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A90D5" w14:textId="77777777" w:rsidR="007E11DA" w:rsidRDefault="007E11DA" w:rsidP="007E11DA">
      <w:pPr>
        <w:spacing w:after="0" w:line="240" w:lineRule="auto"/>
      </w:pPr>
      <w:r>
        <w:separator/>
      </w:r>
    </w:p>
  </w:footnote>
  <w:footnote w:type="continuationSeparator" w:id="0">
    <w:p w14:paraId="2610E2B3" w14:textId="77777777" w:rsidR="007E11DA" w:rsidRDefault="007E11DA" w:rsidP="007E1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95A9B" w14:textId="77777777" w:rsidR="003B629C" w:rsidRDefault="00C97F29" w:rsidP="003B629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E4EAA"/>
    <w:multiLevelType w:val="hybridMultilevel"/>
    <w:tmpl w:val="46BC0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668C4"/>
    <w:multiLevelType w:val="hybridMultilevel"/>
    <w:tmpl w:val="1ECE1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07F0E"/>
    <w:multiLevelType w:val="hybridMultilevel"/>
    <w:tmpl w:val="42C86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00D51"/>
    <w:multiLevelType w:val="hybridMultilevel"/>
    <w:tmpl w:val="14FC8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9F6936"/>
    <w:multiLevelType w:val="hybridMultilevel"/>
    <w:tmpl w:val="EF16D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396B69"/>
    <w:multiLevelType w:val="hybridMultilevel"/>
    <w:tmpl w:val="C908E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CA2D63"/>
    <w:multiLevelType w:val="hybridMultilevel"/>
    <w:tmpl w:val="D2848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2552BF"/>
    <w:multiLevelType w:val="hybridMultilevel"/>
    <w:tmpl w:val="7F8486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0"/>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A8"/>
    <w:rsid w:val="00026E67"/>
    <w:rsid w:val="001B4438"/>
    <w:rsid w:val="0020418C"/>
    <w:rsid w:val="004671F1"/>
    <w:rsid w:val="004C08B4"/>
    <w:rsid w:val="00506317"/>
    <w:rsid w:val="0051700B"/>
    <w:rsid w:val="00566894"/>
    <w:rsid w:val="005D6BC5"/>
    <w:rsid w:val="006F7FA2"/>
    <w:rsid w:val="007E11DA"/>
    <w:rsid w:val="008C14A2"/>
    <w:rsid w:val="00965635"/>
    <w:rsid w:val="00C97F29"/>
    <w:rsid w:val="00DF2BA8"/>
    <w:rsid w:val="00EB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A0EA"/>
  <w15:chartTrackingRefBased/>
  <w15:docId w15:val="{A6A06A89-23CC-4D68-8962-34258093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BA8"/>
  </w:style>
  <w:style w:type="paragraph" w:styleId="Heading2">
    <w:name w:val="heading 2"/>
    <w:basedOn w:val="Normal"/>
    <w:next w:val="Normal"/>
    <w:link w:val="Heading2Char"/>
    <w:uiPriority w:val="9"/>
    <w:unhideWhenUsed/>
    <w:qFormat/>
    <w:rsid w:val="00DF2B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2BA8"/>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DF2BA8"/>
    <w:pPr>
      <w:spacing w:after="0" w:line="240" w:lineRule="auto"/>
    </w:pPr>
  </w:style>
  <w:style w:type="table" w:styleId="TableGrid">
    <w:name w:val="Table Grid"/>
    <w:basedOn w:val="TableNormal"/>
    <w:uiPriority w:val="39"/>
    <w:rsid w:val="00DF2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BA8"/>
    <w:pPr>
      <w:ind w:left="720"/>
      <w:contextualSpacing/>
    </w:pPr>
  </w:style>
  <w:style w:type="character" w:styleId="Hyperlink">
    <w:name w:val="Hyperlink"/>
    <w:basedOn w:val="DefaultParagraphFont"/>
    <w:uiPriority w:val="99"/>
    <w:unhideWhenUsed/>
    <w:rsid w:val="00DF2BA8"/>
    <w:rPr>
      <w:color w:val="0563C1" w:themeColor="hyperlink"/>
      <w:u w:val="single"/>
    </w:rPr>
  </w:style>
  <w:style w:type="paragraph" w:styleId="Header">
    <w:name w:val="header"/>
    <w:basedOn w:val="Normal"/>
    <w:link w:val="HeaderChar"/>
    <w:uiPriority w:val="99"/>
    <w:unhideWhenUsed/>
    <w:rsid w:val="00DF2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BA8"/>
  </w:style>
  <w:style w:type="paragraph" w:styleId="Footer">
    <w:name w:val="footer"/>
    <w:basedOn w:val="Normal"/>
    <w:link w:val="FooterChar"/>
    <w:uiPriority w:val="99"/>
    <w:unhideWhenUsed/>
    <w:rsid w:val="00DF2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BA8"/>
  </w:style>
  <w:style w:type="character" w:styleId="UnresolvedMention">
    <w:name w:val="Unresolved Mention"/>
    <w:basedOn w:val="DefaultParagraphFont"/>
    <w:uiPriority w:val="99"/>
    <w:semiHidden/>
    <w:unhideWhenUsed/>
    <w:rsid w:val="008C14A2"/>
    <w:rPr>
      <w:color w:val="605E5C"/>
      <w:shd w:val="clear" w:color="auto" w:fill="E1DFDD"/>
    </w:rPr>
  </w:style>
  <w:style w:type="character" w:customStyle="1" w:styleId="normaltextrun">
    <w:name w:val="normaltextrun"/>
    <w:basedOn w:val="DefaultParagraphFont"/>
    <w:rsid w:val="001B4438"/>
  </w:style>
  <w:style w:type="character" w:customStyle="1" w:styleId="eop">
    <w:name w:val="eop"/>
    <w:basedOn w:val="DefaultParagraphFont"/>
    <w:rsid w:val="001B4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hrq.gov/antibiotic-use/long-term-care/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rain.org/cdctrain/training_plan/3697" TargetMode="External"/><Relationship Id="rId4" Type="http://schemas.openxmlformats.org/officeDocument/2006/relationships/settings" Target="settings.xml"/><Relationship Id="rId9" Type="http://schemas.openxmlformats.org/officeDocument/2006/relationships/hyperlink" Target="https://www.cdc.gov/antibiotic-use/media/pdfs/core-elements-antibiotic-stewardship-50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FAA786E8BDDE478B525A67C88EB582" ma:contentTypeVersion="26" ma:contentTypeDescription="Create a new document." ma:contentTypeScope="" ma:versionID="e4186d0b4962ce505e47e05418a897dc">
  <xsd:schema xmlns:xsd="http://www.w3.org/2001/XMLSchema" xmlns:xs="http://www.w3.org/2001/XMLSchema" xmlns:p="http://schemas.microsoft.com/office/2006/metadata/properties" xmlns:ns1="http://schemas.microsoft.com/sharepoint/v3" xmlns:ns2="cc77d279-1fa0-40a0-abb2-37db48c0ffa6" xmlns:ns3="e209160b-8f1d-4f88-8f36-0344f8a4efa6" targetNamespace="http://schemas.microsoft.com/office/2006/metadata/properties" ma:root="true" ma:fieldsID="b5f08ea6afbf78d0d4ebedb419c0b1e1" ns1:_="" ns2:_="" ns3:_="">
    <xsd:import namespace="http://schemas.microsoft.com/sharepoint/v3"/>
    <xsd:import namespace="cc77d279-1fa0-40a0-abb2-37db48c0ffa6"/>
    <xsd:import namespace="e209160b-8f1d-4f88-8f36-0344f8a4ef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_Flow_SignoffStatu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MediaServiceBillingMetadata" minOccurs="0"/>
                <xsd:element ref="ns1:_ip_UnifiedCompliancePolicyProperties" minOccurs="0"/>
                <xsd:element ref="ns1:_ip_UnifiedCompliancePolicyUIAction" minOccurs="0"/>
                <xsd:element ref="ns2:HealthDept" minOccurs="0"/>
                <xsd:element ref="ns2:Projec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77d279-1fa0-40a0-abb2-37db48c0f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4c5ea74-d56c-488c-8f42-661e14919e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HealthDept" ma:index="31" nillable="true" ma:displayName="Health Dept" ma:format="Dropdown" ma:internalName="HealthDept">
      <xsd:simpleType>
        <xsd:restriction base="dms:Text">
          <xsd:maxLength value="255"/>
        </xsd:restriction>
      </xsd:simpleType>
    </xsd:element>
    <xsd:element name="ProjectStatus" ma:index="32" nillable="true" ma:displayName="Project Status" ma:default="Active" ma:format="Dropdown" ma:internalName="ProjectStatus">
      <xsd:simpleType>
        <xsd:restriction base="dms:Choice">
          <xsd:enumeration value="Active"/>
          <xsd:enumeration value="Inactive"/>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e209160b-8f1d-4f88-8f36-0344f8a4ef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5686d4f-eaba-40c5-a65c-2038e412c9a1}" ma:internalName="TaxCatchAll" ma:showField="CatchAllData" ma:web="e209160b-8f1d-4f88-8f36-0344f8a4e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cc77d279-1fa0-40a0-abb2-37db48c0ffa6" xsi:nil="true"/>
    <TaxCatchAll xmlns="e209160b-8f1d-4f88-8f36-0344f8a4efa6" xsi:nil="true"/>
    <_ip_UnifiedCompliancePolicyProperties xmlns="http://schemas.microsoft.com/sharepoint/v3" xsi:nil="true"/>
    <Notes xmlns="cc77d279-1fa0-40a0-abb2-37db48c0ffa6" xsi:nil="true"/>
    <lcf76f155ced4ddcb4097134ff3c332f xmlns="cc77d279-1fa0-40a0-abb2-37db48c0ffa6">
      <Terms xmlns="http://schemas.microsoft.com/office/infopath/2007/PartnerControls"/>
    </lcf76f155ced4ddcb4097134ff3c332f>
    <HealthDept xmlns="cc77d279-1fa0-40a0-abb2-37db48c0ffa6" xsi:nil="true"/>
    <ProjectStatus xmlns="cc77d279-1fa0-40a0-abb2-37db48c0ffa6">Active</ProjectStatus>
  </documentManagement>
</p:properties>
</file>

<file path=customXml/itemProps1.xml><?xml version="1.0" encoding="utf-8"?>
<ds:datastoreItem xmlns:ds="http://schemas.openxmlformats.org/officeDocument/2006/customXml" ds:itemID="{1BC4A4A6-36EE-4734-9DAE-F69BE5FBBBDE}">
  <ds:schemaRefs>
    <ds:schemaRef ds:uri="http://schemas.openxmlformats.org/officeDocument/2006/bibliography"/>
  </ds:schemaRefs>
</ds:datastoreItem>
</file>

<file path=customXml/itemProps2.xml><?xml version="1.0" encoding="utf-8"?>
<ds:datastoreItem xmlns:ds="http://schemas.openxmlformats.org/officeDocument/2006/customXml" ds:itemID="{FA2B9980-C3B4-4679-BD13-6B7640C11297}"/>
</file>

<file path=customXml/itemProps3.xml><?xml version="1.0" encoding="utf-8"?>
<ds:datastoreItem xmlns:ds="http://schemas.openxmlformats.org/officeDocument/2006/customXml" ds:itemID="{70FB72FD-9BEC-4AC1-B3D7-8F5F4A9893D8}"/>
</file>

<file path=customXml/itemProps4.xml><?xml version="1.0" encoding="utf-8"?>
<ds:datastoreItem xmlns:ds="http://schemas.openxmlformats.org/officeDocument/2006/customXml" ds:itemID="{8E94CB1D-60B0-4CEF-BDB3-889AE246704A}"/>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Pavano</dc:creator>
  <cp:keywords/>
  <dc:description/>
  <cp:lastModifiedBy>Megan Westcott</cp:lastModifiedBy>
  <cp:revision>2</cp:revision>
  <dcterms:created xsi:type="dcterms:W3CDTF">2025-08-27T17:43:00Z</dcterms:created>
  <dcterms:modified xsi:type="dcterms:W3CDTF">2025-08-27T17:43:00Z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0x01010027FAA786E8BDDE478B525A67C88EB582</vt:lpwstr>
  </property>
</Properties>
</file>